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77777777" w:rsidR="00201FA8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</w:p>
    <w:p w14:paraId="00651F27" w14:textId="5CC99E8A" w:rsidR="00201FA8" w:rsidRDefault="00201FA8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2A2D3B">
        <w:rPr>
          <w:rFonts w:ascii="Calibri" w:eastAsia="Calibri" w:hAnsi="Calibri" w:cs="Calibri"/>
          <w:b/>
          <w:sz w:val="22"/>
          <w:szCs w:val="22"/>
        </w:rPr>
        <w:t>des Travaux Publics</w:t>
      </w:r>
    </w:p>
    <w:p w14:paraId="768D43C2" w14:textId="77777777" w:rsidR="00FA7685" w:rsidRDefault="00FA7685">
      <w:pPr>
        <w:jc w:val="center"/>
      </w:pPr>
    </w:p>
    <w:p w14:paraId="156FD359" w14:textId="6F5343A2" w:rsidR="00751A8E" w:rsidRDefault="002A2D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Contrat de réalisation de travaux</w:t>
      </w:r>
    </w:p>
    <w:p w14:paraId="2D1BC58C" w14:textId="77777777" w:rsidR="002F5FD2" w:rsidRPr="00EB444C" w:rsidRDefault="002F5FD2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65161B5B" w:rsidR="00FA7685" w:rsidRPr="0061181A" w:rsidRDefault="002A2D3B" w:rsidP="00201FA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Contrat signé entre le Promoteur et le Ministère des Travaux </w:t>
            </w:r>
            <w:r w:rsidR="0052790B">
              <w:rPr>
                <w:rFonts w:ascii="Calibri" w:hAnsi="Calibri"/>
                <w:color w:val="000000" w:themeColor="text1"/>
                <w:sz w:val="22"/>
                <w:szCs w:val="22"/>
              </w:rPr>
              <w:t>Publics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6D797581" w:rsidR="007E7288" w:rsidRPr="00CB6D39" w:rsidRDefault="008879A2" w:rsidP="00ED3651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 de réaliser des activités sur des ouvrages gérés par la partie publique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1E30ED4B" w:rsidR="005A633E" w:rsidRPr="008879A2" w:rsidRDefault="008879A2" w:rsidP="008879A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553A475D" w:rsidR="008879A2" w:rsidRPr="0061181A" w:rsidRDefault="008879A2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 cas par cas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6F06006F" w:rsidR="008879A2" w:rsidRPr="0061181A" w:rsidRDefault="008879A2" w:rsidP="001A1A87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 cas par cas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A338979" w:rsidR="008879A2" w:rsidRPr="005D4BC2" w:rsidRDefault="008879A2" w:rsidP="005A633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Défraiement des visites sur site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CA38D9B" w:rsidR="008879A2" w:rsidRPr="008879A2" w:rsidRDefault="002A2D3B" w:rsidP="008879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Avoir obtenu une autorisation provisoire de réalisation des travaux</w:t>
            </w:r>
          </w:p>
        </w:tc>
        <w:tc>
          <w:tcPr>
            <w:tcW w:w="5671" w:type="dxa"/>
            <w:vAlign w:val="center"/>
          </w:tcPr>
          <w:p w14:paraId="72EB481B" w14:textId="6AC9E602" w:rsidR="008879A2" w:rsidRPr="005A633E" w:rsidRDefault="008879A2" w:rsidP="005A63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1FA25BCE" w:rsidR="008879A2" w:rsidRDefault="002A2D3B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Ministère des TP</w:t>
            </w:r>
            <w:r w:rsidR="008879A2" w:rsidRPr="005B6AF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Durant la période de validité de l’autorisation provisoire prépare un projet de protocole d’accord. A échéance de l’autorisation provisoire, effectue une visite sur site pour contrôler les premiers travaux</w:t>
            </w:r>
          </w:p>
          <w:p w14:paraId="4F2C2588" w14:textId="0A5C2B68" w:rsidR="008879A2" w:rsidRPr="0055420A" w:rsidRDefault="002A2D3B" w:rsidP="002A2D3B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Promoteur</w:t>
            </w:r>
            <w:r w:rsidR="00E178E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/Ministre des TP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signe</w:t>
            </w:r>
            <w:r w:rsidR="00E178EE">
              <w:rPr>
                <w:rFonts w:ascii="Calibri" w:hAnsi="Calibri"/>
                <w:color w:val="000000" w:themeColor="text1"/>
                <w:sz w:val="22"/>
                <w:szCs w:val="22"/>
              </w:rPr>
              <w:t>nt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le Protocole d’accord</w:t>
            </w:r>
          </w:p>
        </w:tc>
        <w:tc>
          <w:tcPr>
            <w:tcW w:w="5671" w:type="dxa"/>
            <w:vAlign w:val="center"/>
          </w:tcPr>
          <w:p w14:paraId="1B1FCF20" w14:textId="1E4BE925" w:rsidR="008879A2" w:rsidRPr="0061181A" w:rsidRDefault="008879A2" w:rsidP="002A2D3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Oui. 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Avis d’une autre administration requis avant la délivrance de l’Autorisation (indiquer si simple collaboration de 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8879A2" w:rsidRPr="0061181A" w14:paraId="65294F0C" w14:textId="77777777" w:rsidTr="00E178EE">
        <w:trPr>
          <w:trHeight w:val="316"/>
        </w:trPr>
        <w:tc>
          <w:tcPr>
            <w:tcW w:w="5670" w:type="dxa"/>
            <w:gridSpan w:val="2"/>
            <w:vAlign w:val="center"/>
          </w:tcPr>
          <w:p w14:paraId="0D344E10" w14:textId="003D0290" w:rsidR="008879A2" w:rsidRPr="00E03B4F" w:rsidRDefault="00C3147B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 cas par cas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E178EE">
        <w:trPr>
          <w:trHeight w:val="63"/>
        </w:trPr>
        <w:tc>
          <w:tcPr>
            <w:tcW w:w="5670" w:type="dxa"/>
            <w:gridSpan w:val="2"/>
            <w:vAlign w:val="center"/>
          </w:tcPr>
          <w:p w14:paraId="7EA653EB" w14:textId="1355EA92" w:rsidR="008879A2" w:rsidRPr="008515F0" w:rsidRDefault="008879A2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E178EE">
        <w:trPr>
          <w:trHeight w:val="161"/>
        </w:trPr>
        <w:tc>
          <w:tcPr>
            <w:tcW w:w="5670" w:type="dxa"/>
            <w:gridSpan w:val="2"/>
            <w:vAlign w:val="center"/>
          </w:tcPr>
          <w:p w14:paraId="23EBDEA6" w14:textId="0D8D1A0C" w:rsidR="008879A2" w:rsidRPr="0061181A" w:rsidRDefault="002A2D3B" w:rsidP="002A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Contrat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26424654" w:rsidR="008879A2" w:rsidRPr="0061181A" w:rsidRDefault="0055420A" w:rsidP="004129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Ministère des travaux publics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3C777C4D" w14:textId="77777777" w:rsidR="0055420A" w:rsidRDefault="0055420A" w:rsidP="00A05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 :</w:t>
            </w:r>
          </w:p>
          <w:p w14:paraId="430EA22A" w14:textId="126216D8" w:rsidR="0055420A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des routes nationales</w:t>
            </w:r>
          </w:p>
          <w:p w14:paraId="236FEAA5" w14:textId="1D00E294" w:rsidR="0055420A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des routes préfectorales et communautaires</w:t>
            </w:r>
          </w:p>
          <w:p w14:paraId="77984965" w14:textId="4696D0B0" w:rsidR="008879A2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 la voierie urbaine</w:t>
            </w:r>
            <w:r w:rsidR="008879A2" w:rsidRPr="0055420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756C22B" w:rsidR="008879A2" w:rsidRPr="00DB2AEF" w:rsidRDefault="00E178EE" w:rsidP="00E178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Procédure </w:t>
            </w:r>
            <w:r w:rsidR="00C04F6E">
              <w:rPr>
                <w:rFonts w:ascii="Calibri" w:eastAsia="Calibri" w:hAnsi="Calibri" w:cs="Calibri"/>
                <w:sz w:val="22"/>
                <w:szCs w:val="22"/>
              </w:rPr>
              <w:t>non identifiée dans les textes au sens strict. Elle correspond à une pratique générale qui est déclinée en fonction du type de travaux à réaliser</w:t>
            </w:r>
            <w:r w:rsidR="008879A2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A2E8FE3" w14:textId="77777777" w:rsidR="004B53A6" w:rsidRDefault="004B53A6">
      <w:pPr>
        <w:sectPr w:rsidR="004B53A6">
          <w:footerReference w:type="default" r:id="rId9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p w14:paraId="63977976" w14:textId="5F444CF0" w:rsidR="00FA7685" w:rsidRDefault="00735179">
      <w:r w:rsidRPr="00735179">
        <w:lastRenderedPageBreak/>
        <w:drawing>
          <wp:inline distT="0" distB="0" distL="0" distR="0" wp14:anchorId="55E8092A" wp14:editId="2D34D7B7">
            <wp:extent cx="6584950" cy="82613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82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7685" w:rsidSect="004B53A6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DD06A" w14:textId="77777777" w:rsidR="00931210" w:rsidRDefault="00931210" w:rsidP="003B1A64">
      <w:r>
        <w:separator/>
      </w:r>
    </w:p>
  </w:endnote>
  <w:endnote w:type="continuationSeparator" w:id="0">
    <w:p w14:paraId="3DC2AB2C" w14:textId="77777777" w:rsidR="00931210" w:rsidRDefault="00931210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79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2AA7" w14:textId="77777777" w:rsidR="00931210" w:rsidRDefault="00931210" w:rsidP="003B1A64">
      <w:r>
        <w:separator/>
      </w:r>
    </w:p>
  </w:footnote>
  <w:footnote w:type="continuationSeparator" w:id="0">
    <w:p w14:paraId="41A55608" w14:textId="77777777" w:rsidR="00931210" w:rsidRDefault="00931210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9"/>
  </w:num>
  <w:num w:numId="5">
    <w:abstractNumId w:val="28"/>
  </w:num>
  <w:num w:numId="6">
    <w:abstractNumId w:val="31"/>
  </w:num>
  <w:num w:numId="7">
    <w:abstractNumId w:val="6"/>
  </w:num>
  <w:num w:numId="8">
    <w:abstractNumId w:val="24"/>
  </w:num>
  <w:num w:numId="9">
    <w:abstractNumId w:val="25"/>
  </w:num>
  <w:num w:numId="10">
    <w:abstractNumId w:val="33"/>
  </w:num>
  <w:num w:numId="11">
    <w:abstractNumId w:val="10"/>
  </w:num>
  <w:num w:numId="12">
    <w:abstractNumId w:val="18"/>
  </w:num>
  <w:num w:numId="13">
    <w:abstractNumId w:val="30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7"/>
  </w:num>
  <w:num w:numId="20">
    <w:abstractNumId w:val="26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4"/>
  </w:num>
  <w:num w:numId="27">
    <w:abstractNumId w:val="14"/>
  </w:num>
  <w:num w:numId="28">
    <w:abstractNumId w:val="22"/>
  </w:num>
  <w:num w:numId="29">
    <w:abstractNumId w:val="35"/>
  </w:num>
  <w:num w:numId="30">
    <w:abstractNumId w:val="32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8"/>
  </w:num>
  <w:num w:numId="36">
    <w:abstractNumId w:val="7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78A5"/>
    <w:rsid w:val="000609DC"/>
    <w:rsid w:val="00062FCD"/>
    <w:rsid w:val="00083314"/>
    <w:rsid w:val="000A366E"/>
    <w:rsid w:val="000E6379"/>
    <w:rsid w:val="000F5F30"/>
    <w:rsid w:val="00167059"/>
    <w:rsid w:val="00172A8F"/>
    <w:rsid w:val="00196E44"/>
    <w:rsid w:val="001A1A87"/>
    <w:rsid w:val="00201FA8"/>
    <w:rsid w:val="0022574D"/>
    <w:rsid w:val="002938F9"/>
    <w:rsid w:val="002A2D3B"/>
    <w:rsid w:val="002B00CB"/>
    <w:rsid w:val="002F0B33"/>
    <w:rsid w:val="002F5FD2"/>
    <w:rsid w:val="002F6DB4"/>
    <w:rsid w:val="00301235"/>
    <w:rsid w:val="00317A46"/>
    <w:rsid w:val="00367F48"/>
    <w:rsid w:val="00380506"/>
    <w:rsid w:val="00392D9F"/>
    <w:rsid w:val="003B1A64"/>
    <w:rsid w:val="00407C20"/>
    <w:rsid w:val="00412947"/>
    <w:rsid w:val="00442DB7"/>
    <w:rsid w:val="00444E86"/>
    <w:rsid w:val="00452015"/>
    <w:rsid w:val="00453724"/>
    <w:rsid w:val="004915E6"/>
    <w:rsid w:val="004B53A6"/>
    <w:rsid w:val="00514B52"/>
    <w:rsid w:val="00521CE0"/>
    <w:rsid w:val="0052790B"/>
    <w:rsid w:val="0055420A"/>
    <w:rsid w:val="005605ED"/>
    <w:rsid w:val="005730EE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26C2"/>
    <w:rsid w:val="00674594"/>
    <w:rsid w:val="00703F1A"/>
    <w:rsid w:val="0073452D"/>
    <w:rsid w:val="00735179"/>
    <w:rsid w:val="00751A8E"/>
    <w:rsid w:val="00765578"/>
    <w:rsid w:val="0077446B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879A2"/>
    <w:rsid w:val="00924C12"/>
    <w:rsid w:val="00931210"/>
    <w:rsid w:val="009401C4"/>
    <w:rsid w:val="00947C51"/>
    <w:rsid w:val="009702D7"/>
    <w:rsid w:val="00974DFD"/>
    <w:rsid w:val="009837C5"/>
    <w:rsid w:val="009C1CC3"/>
    <w:rsid w:val="009C3E81"/>
    <w:rsid w:val="00A05C16"/>
    <w:rsid w:val="00A3183C"/>
    <w:rsid w:val="00A46A2A"/>
    <w:rsid w:val="00AB7870"/>
    <w:rsid w:val="00B244DB"/>
    <w:rsid w:val="00B53C55"/>
    <w:rsid w:val="00B71921"/>
    <w:rsid w:val="00B764CA"/>
    <w:rsid w:val="00B85DED"/>
    <w:rsid w:val="00BD16F6"/>
    <w:rsid w:val="00BD3B30"/>
    <w:rsid w:val="00BE6C22"/>
    <w:rsid w:val="00BE7F83"/>
    <w:rsid w:val="00BF4B4E"/>
    <w:rsid w:val="00C04F6E"/>
    <w:rsid w:val="00C30733"/>
    <w:rsid w:val="00C30BE3"/>
    <w:rsid w:val="00C3147B"/>
    <w:rsid w:val="00C71C6B"/>
    <w:rsid w:val="00C94B9A"/>
    <w:rsid w:val="00CA09ED"/>
    <w:rsid w:val="00CB6D39"/>
    <w:rsid w:val="00CC2184"/>
    <w:rsid w:val="00CD0CBA"/>
    <w:rsid w:val="00D54E78"/>
    <w:rsid w:val="00D55422"/>
    <w:rsid w:val="00D75C34"/>
    <w:rsid w:val="00D925AA"/>
    <w:rsid w:val="00DA6FE5"/>
    <w:rsid w:val="00DB2AEF"/>
    <w:rsid w:val="00DB4E26"/>
    <w:rsid w:val="00DE0E86"/>
    <w:rsid w:val="00E03B4F"/>
    <w:rsid w:val="00E0599F"/>
    <w:rsid w:val="00E11AB8"/>
    <w:rsid w:val="00E178EE"/>
    <w:rsid w:val="00E73856"/>
    <w:rsid w:val="00E763ED"/>
    <w:rsid w:val="00EB444C"/>
    <w:rsid w:val="00EB7374"/>
    <w:rsid w:val="00EB7CE1"/>
    <w:rsid w:val="00EC7039"/>
    <w:rsid w:val="00ED3651"/>
    <w:rsid w:val="00F00DD8"/>
    <w:rsid w:val="00F0798C"/>
    <w:rsid w:val="00F27542"/>
    <w:rsid w:val="00F36430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13A2-5AEB-4CA3-96E5-B9910C02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4</cp:revision>
  <cp:lastPrinted>2016-11-22T08:57:00Z</cp:lastPrinted>
  <dcterms:created xsi:type="dcterms:W3CDTF">2016-12-12T15:13:00Z</dcterms:created>
  <dcterms:modified xsi:type="dcterms:W3CDTF">2017-02-13T14:22:00Z</dcterms:modified>
</cp:coreProperties>
</file>