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768D43C2" w14:textId="48014FF6" w:rsidR="00FA7685" w:rsidRDefault="00E15C80">
      <w:pPr>
        <w:jc w:val="center"/>
      </w:pPr>
      <w:r w:rsidRPr="00E15C80">
        <w:rPr>
          <w:rFonts w:ascii="Calibri" w:eastAsia="Calibri" w:hAnsi="Calibri" w:cs="Calibri"/>
          <w:b/>
          <w:sz w:val="22"/>
          <w:szCs w:val="22"/>
        </w:rPr>
        <w:t>Direction Nationale de l'hydraulique</w:t>
      </w:r>
      <w:r>
        <w:rPr>
          <w:rFonts w:ascii="Calibri" w:eastAsia="Calibri" w:hAnsi="Calibri" w:cs="Calibri"/>
          <w:b/>
          <w:sz w:val="22"/>
          <w:szCs w:val="22"/>
        </w:rPr>
        <w:t xml:space="preserve"> (DNH)</w:t>
      </w:r>
    </w:p>
    <w:p w14:paraId="10CAB21E" w14:textId="45E27264" w:rsidR="0061181A" w:rsidRDefault="00470F99">
      <w:pPr>
        <w:jc w:val="center"/>
        <w:rPr>
          <w:rFonts w:ascii="Calibri" w:eastAsia="Calibri" w:hAnsi="Calibri" w:cs="Calibri"/>
          <w:b/>
          <w:sz w:val="22"/>
          <w:szCs w:val="22"/>
        </w:rPr>
      </w:pPr>
      <w:r>
        <w:rPr>
          <w:rFonts w:ascii="Calibri" w:eastAsia="Calibri" w:hAnsi="Calibri" w:cs="Calibri"/>
          <w:b/>
          <w:sz w:val="22"/>
          <w:szCs w:val="22"/>
        </w:rPr>
        <w:t>Concession</w:t>
      </w:r>
      <w:r w:rsidRPr="005F3956">
        <w:rPr>
          <w:rFonts w:ascii="Calibri" w:eastAsia="Calibri" w:hAnsi="Calibri" w:cs="Calibri"/>
          <w:b/>
          <w:sz w:val="22"/>
          <w:szCs w:val="22"/>
        </w:rPr>
        <w:t xml:space="preserve"> d’utilisation et/ou d'exploitation des ressources en eau</w:t>
      </w:r>
    </w:p>
    <w:p w14:paraId="3893E245" w14:textId="77777777" w:rsidR="005F3956" w:rsidRPr="00EB444C" w:rsidRDefault="005F3956">
      <w:pPr>
        <w:jc w:val="center"/>
        <w:rPr>
          <w:color w:val="000000" w:themeColor="text1"/>
        </w:rPr>
      </w:pPr>
    </w:p>
    <w:tbl>
      <w:tblPr>
        <w:tblStyle w:val="a"/>
        <w:tblW w:w="10794"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7"/>
        <w:gridCol w:w="262"/>
        <w:gridCol w:w="2854"/>
        <w:gridCol w:w="5671"/>
      </w:tblGrid>
      <w:tr w:rsidR="00EB444C" w:rsidRPr="0061181A" w14:paraId="3BD39F54" w14:textId="77777777" w:rsidTr="00CB62C4">
        <w:trPr>
          <w:trHeight w:val="260"/>
          <w:tblHeader/>
        </w:trPr>
        <w:tc>
          <w:tcPr>
            <w:tcW w:w="10794" w:type="dxa"/>
            <w:gridSpan w:val="4"/>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CB62C4">
        <w:trPr>
          <w:trHeight w:val="400"/>
        </w:trPr>
        <w:tc>
          <w:tcPr>
            <w:tcW w:w="2269" w:type="dxa"/>
            <w:gridSpan w:val="2"/>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525" w:type="dxa"/>
            <w:gridSpan w:val="2"/>
            <w:vAlign w:val="center"/>
          </w:tcPr>
          <w:p w14:paraId="0E247706" w14:textId="4A6BAEDB" w:rsidR="00FA7685" w:rsidRPr="0061181A" w:rsidRDefault="00816772" w:rsidP="0061181A">
            <w:pPr>
              <w:contextualSpacing w:val="0"/>
              <w:rPr>
                <w:rFonts w:ascii="Calibri" w:hAnsi="Calibri"/>
                <w:color w:val="000000" w:themeColor="text1"/>
                <w:sz w:val="22"/>
                <w:szCs w:val="22"/>
              </w:rPr>
            </w:pPr>
            <w:r>
              <w:rPr>
                <w:rFonts w:ascii="Calibri" w:hAnsi="Calibri"/>
                <w:color w:val="000000" w:themeColor="text1"/>
                <w:sz w:val="22"/>
                <w:szCs w:val="22"/>
              </w:rPr>
              <w:t xml:space="preserve">Concession </w:t>
            </w:r>
            <w:r w:rsidRPr="00816772">
              <w:rPr>
                <w:rFonts w:ascii="Calibri" w:hAnsi="Calibri"/>
                <w:color w:val="000000" w:themeColor="text1"/>
                <w:sz w:val="22"/>
                <w:szCs w:val="22"/>
              </w:rPr>
              <w:t>(décret)</w:t>
            </w:r>
          </w:p>
        </w:tc>
      </w:tr>
      <w:tr w:rsidR="00EB444C" w:rsidRPr="0061181A" w14:paraId="52D72EFE" w14:textId="77777777" w:rsidTr="00CB62C4">
        <w:trPr>
          <w:trHeight w:val="420"/>
        </w:trPr>
        <w:tc>
          <w:tcPr>
            <w:tcW w:w="2269" w:type="dxa"/>
            <w:gridSpan w:val="2"/>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525" w:type="dxa"/>
            <w:gridSpan w:val="2"/>
            <w:vAlign w:val="center"/>
          </w:tcPr>
          <w:p w14:paraId="244A5622" w14:textId="60842413" w:rsidR="00FA7685" w:rsidRPr="0061181A" w:rsidRDefault="00816772" w:rsidP="0061181A">
            <w:pPr>
              <w:spacing w:before="80"/>
              <w:contextualSpacing w:val="0"/>
              <w:rPr>
                <w:rFonts w:ascii="Calibri" w:hAnsi="Calibri"/>
                <w:color w:val="000000" w:themeColor="text1"/>
                <w:sz w:val="22"/>
                <w:szCs w:val="22"/>
              </w:rPr>
            </w:pPr>
            <w:r w:rsidRPr="00816772">
              <w:rPr>
                <w:rFonts w:ascii="Calibri" w:hAnsi="Calibri"/>
                <w:color w:val="000000" w:themeColor="text1"/>
                <w:sz w:val="22"/>
                <w:szCs w:val="22"/>
              </w:rPr>
              <w:t>Permet l'utilisation permanente ou qualitativement et quantitativement importantes ou nécessit</w:t>
            </w:r>
            <w:r>
              <w:rPr>
                <w:rFonts w:ascii="Calibri" w:hAnsi="Calibri"/>
                <w:color w:val="000000" w:themeColor="text1"/>
                <w:sz w:val="22"/>
                <w:szCs w:val="22"/>
              </w:rPr>
              <w:t>ant des travaux dont la période</w:t>
            </w:r>
            <w:r w:rsidRPr="00816772">
              <w:rPr>
                <w:rFonts w:ascii="Calibri" w:hAnsi="Calibri"/>
                <w:color w:val="000000" w:themeColor="text1"/>
                <w:sz w:val="22"/>
                <w:szCs w:val="22"/>
              </w:rPr>
              <w:t xml:space="preserve"> d’amortissement</w:t>
            </w:r>
            <w:r w:rsidR="002E78EB">
              <w:rPr>
                <w:rFonts w:ascii="Calibri" w:hAnsi="Calibri"/>
                <w:color w:val="000000" w:themeColor="text1"/>
                <w:sz w:val="22"/>
                <w:szCs w:val="22"/>
              </w:rPr>
              <w:t xml:space="preserve"> des</w:t>
            </w:r>
            <w:r w:rsidR="00A7086C">
              <w:rPr>
                <w:rFonts w:ascii="Calibri" w:hAnsi="Calibri"/>
                <w:color w:val="000000" w:themeColor="text1"/>
                <w:sz w:val="22"/>
                <w:szCs w:val="22"/>
              </w:rPr>
              <w:t xml:space="preserve"> investissement</w:t>
            </w:r>
            <w:r w:rsidR="002E78EB">
              <w:rPr>
                <w:rFonts w:ascii="Calibri" w:hAnsi="Calibri"/>
                <w:color w:val="000000" w:themeColor="text1"/>
                <w:sz w:val="22"/>
                <w:szCs w:val="22"/>
              </w:rPr>
              <w:t>s</w:t>
            </w:r>
            <w:r w:rsidR="00A7086C">
              <w:rPr>
                <w:rFonts w:ascii="Calibri" w:hAnsi="Calibri"/>
                <w:color w:val="000000" w:themeColor="text1"/>
                <w:sz w:val="22"/>
                <w:szCs w:val="22"/>
              </w:rPr>
              <w:t xml:space="preserve"> </w:t>
            </w:r>
            <w:r w:rsidR="002E78EB">
              <w:rPr>
                <w:rFonts w:ascii="Calibri" w:hAnsi="Calibri"/>
                <w:color w:val="000000" w:themeColor="text1"/>
                <w:sz w:val="22"/>
                <w:szCs w:val="22"/>
              </w:rPr>
              <w:t>e</w:t>
            </w:r>
            <w:r w:rsidRPr="00816772">
              <w:rPr>
                <w:rFonts w:ascii="Calibri" w:hAnsi="Calibri"/>
                <w:color w:val="000000" w:themeColor="text1"/>
                <w:sz w:val="22"/>
                <w:szCs w:val="22"/>
              </w:rPr>
              <w:t>st supérieure à dix (10) ans</w:t>
            </w:r>
          </w:p>
        </w:tc>
      </w:tr>
      <w:tr w:rsidR="00EB444C" w:rsidRPr="0061181A" w14:paraId="61A57150" w14:textId="77777777" w:rsidTr="00CB62C4">
        <w:trPr>
          <w:trHeight w:val="1443"/>
        </w:trPr>
        <w:tc>
          <w:tcPr>
            <w:tcW w:w="2269" w:type="dxa"/>
            <w:gridSpan w:val="2"/>
            <w:vAlign w:val="center"/>
          </w:tcPr>
          <w:p w14:paraId="24329B8B" w14:textId="73812D74" w:rsidR="00FA7685" w:rsidRPr="0061181A" w:rsidRDefault="00F00DD8" w:rsidP="0061181A">
            <w:pPr>
              <w:spacing w:before="80"/>
              <w:contextualSpacing w:val="0"/>
              <w:rPr>
                <w:rFonts w:ascii="Calibri" w:hAnsi="Calibri"/>
                <w:color w:val="000000" w:themeColor="text1"/>
                <w:sz w:val="22"/>
                <w:szCs w:val="22"/>
              </w:rPr>
            </w:pPr>
            <w:r w:rsidRPr="00D14015">
              <w:rPr>
                <w:rFonts w:ascii="Calibri" w:hAnsi="Calibri"/>
                <w:color w:val="000000" w:themeColor="text1"/>
                <w:sz w:val="22"/>
                <w:szCs w:val="22"/>
              </w:rPr>
              <w:t>Base juridique</w:t>
            </w:r>
            <w:r w:rsidR="00172A8F" w:rsidRPr="00D14015">
              <w:rPr>
                <w:rFonts w:ascii="Calibri" w:hAnsi="Calibri"/>
                <w:color w:val="000000" w:themeColor="text1"/>
                <w:sz w:val="22"/>
                <w:szCs w:val="22"/>
              </w:rPr>
              <w:t xml:space="preserve"> (référence</w:t>
            </w:r>
            <w:r w:rsidR="003B1A64" w:rsidRPr="00D14015">
              <w:rPr>
                <w:rFonts w:ascii="Calibri" w:hAnsi="Calibri"/>
                <w:color w:val="000000" w:themeColor="text1"/>
                <w:sz w:val="22"/>
                <w:szCs w:val="22"/>
              </w:rPr>
              <w:t>s</w:t>
            </w:r>
            <w:r w:rsidR="00172A8F" w:rsidRPr="00D14015">
              <w:rPr>
                <w:rFonts w:ascii="Calibri" w:hAnsi="Calibri"/>
                <w:color w:val="000000" w:themeColor="text1"/>
                <w:sz w:val="22"/>
                <w:szCs w:val="22"/>
              </w:rPr>
              <w:t xml:space="preserve"> des textes généraux et particuliers)</w:t>
            </w:r>
          </w:p>
        </w:tc>
        <w:tc>
          <w:tcPr>
            <w:tcW w:w="8525" w:type="dxa"/>
            <w:gridSpan w:val="2"/>
            <w:vAlign w:val="center"/>
          </w:tcPr>
          <w:p w14:paraId="0759846B" w14:textId="34945FFB" w:rsidR="00E15C80" w:rsidRPr="00FF3F26" w:rsidRDefault="00E15C80">
            <w:pPr>
              <w:spacing w:before="80"/>
              <w:rPr>
                <w:rFonts w:ascii="Calibri" w:hAnsi="Calibri"/>
                <w:color w:val="000000" w:themeColor="text1"/>
                <w:sz w:val="22"/>
                <w:szCs w:val="22"/>
              </w:rPr>
            </w:pPr>
            <w:r w:rsidRPr="00FF3F26">
              <w:rPr>
                <w:rFonts w:ascii="Calibri" w:hAnsi="Calibri"/>
                <w:color w:val="000000" w:themeColor="text1"/>
                <w:sz w:val="22"/>
                <w:szCs w:val="22"/>
              </w:rPr>
              <w:t>Code de l'Eau (article 9)</w:t>
            </w:r>
          </w:p>
          <w:p w14:paraId="1039AF14" w14:textId="48A6FA77" w:rsidR="00E15C80" w:rsidRPr="002E78EB" w:rsidRDefault="00E15C80" w:rsidP="00FF3F26">
            <w:pPr>
              <w:spacing w:before="80"/>
              <w:rPr>
                <w:rFonts w:ascii="Calibri" w:hAnsi="Calibri"/>
                <w:color w:val="000000" w:themeColor="text1"/>
                <w:sz w:val="22"/>
                <w:szCs w:val="22"/>
              </w:rPr>
            </w:pPr>
            <w:r w:rsidRPr="002E78EB">
              <w:rPr>
                <w:rFonts w:ascii="Calibri" w:hAnsi="Calibri"/>
                <w:color w:val="000000" w:themeColor="text1"/>
                <w:sz w:val="22"/>
                <w:szCs w:val="22"/>
              </w:rPr>
              <w:t xml:space="preserve">Code </w:t>
            </w:r>
            <w:r w:rsidR="003A6165" w:rsidRPr="002E78EB">
              <w:rPr>
                <w:rFonts w:ascii="Calibri" w:hAnsi="Calibri"/>
                <w:color w:val="000000" w:themeColor="text1"/>
                <w:sz w:val="22"/>
                <w:szCs w:val="22"/>
              </w:rPr>
              <w:t>Minier (</w:t>
            </w:r>
            <w:r w:rsidRPr="002E78EB">
              <w:rPr>
                <w:rFonts w:ascii="Calibri" w:hAnsi="Calibri"/>
                <w:color w:val="000000" w:themeColor="text1"/>
                <w:sz w:val="22"/>
                <w:szCs w:val="22"/>
              </w:rPr>
              <w:t>articles 100-103)</w:t>
            </w:r>
            <w:r w:rsidR="00A7086C" w:rsidRPr="002E78EB">
              <w:rPr>
                <w:rFonts w:ascii="Calibri" w:hAnsi="Calibri"/>
                <w:color w:val="000000" w:themeColor="text1"/>
                <w:sz w:val="22"/>
                <w:szCs w:val="22"/>
              </w:rPr>
              <w:t xml:space="preserve"> pour les eaux souterraines </w:t>
            </w:r>
          </w:p>
          <w:p w14:paraId="6B6B6FAC" w14:textId="0D3C9799" w:rsidR="00816772" w:rsidRPr="002E78EB" w:rsidRDefault="00816772" w:rsidP="00FF3F26">
            <w:pPr>
              <w:spacing w:before="80"/>
              <w:rPr>
                <w:rFonts w:ascii="Calibri" w:hAnsi="Calibri"/>
                <w:color w:val="000000" w:themeColor="text1"/>
                <w:sz w:val="22"/>
                <w:szCs w:val="22"/>
              </w:rPr>
            </w:pPr>
            <w:r w:rsidRPr="002E78EB">
              <w:rPr>
                <w:rFonts w:ascii="Calibri" w:hAnsi="Calibri"/>
                <w:color w:val="000000" w:themeColor="text1"/>
                <w:sz w:val="22"/>
                <w:szCs w:val="22"/>
              </w:rPr>
              <w:t>Code de l'Eau (article 11)</w:t>
            </w:r>
          </w:p>
          <w:p w14:paraId="4485F219" w14:textId="7271EE47" w:rsidR="00816772" w:rsidRPr="00FF3F26" w:rsidRDefault="00816772" w:rsidP="00FF3F26">
            <w:pPr>
              <w:pStyle w:val="Paragraphedeliste"/>
              <w:spacing w:before="80"/>
              <w:ind w:left="360"/>
              <w:rPr>
                <w:rFonts w:ascii="Calibri" w:hAnsi="Calibri"/>
                <w:b/>
                <w:color w:val="000000" w:themeColor="text1"/>
                <w:sz w:val="22"/>
                <w:szCs w:val="22"/>
              </w:rPr>
            </w:pPr>
          </w:p>
        </w:tc>
      </w:tr>
      <w:tr w:rsidR="00EB444C" w:rsidRPr="0061181A" w14:paraId="7E278A8E" w14:textId="77777777" w:rsidTr="00CB62C4">
        <w:trPr>
          <w:trHeight w:val="300"/>
        </w:trPr>
        <w:tc>
          <w:tcPr>
            <w:tcW w:w="2269" w:type="dxa"/>
            <w:gridSpan w:val="2"/>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525" w:type="dxa"/>
            <w:gridSpan w:val="2"/>
            <w:vAlign w:val="center"/>
          </w:tcPr>
          <w:p w14:paraId="41E15FDD" w14:textId="499F300B" w:rsidR="00FA7685" w:rsidRPr="002E78EB" w:rsidRDefault="00E15C80" w:rsidP="0061181A">
            <w:pPr>
              <w:spacing w:before="80"/>
              <w:contextualSpacing w:val="0"/>
              <w:rPr>
                <w:rFonts w:ascii="Calibri" w:hAnsi="Calibri"/>
                <w:color w:val="000000" w:themeColor="text1"/>
                <w:sz w:val="22"/>
                <w:szCs w:val="22"/>
              </w:rPr>
            </w:pPr>
            <w:r w:rsidRPr="002E78EB">
              <w:rPr>
                <w:rFonts w:ascii="Calibri" w:hAnsi="Calibri"/>
                <w:color w:val="000000" w:themeColor="text1"/>
                <w:sz w:val="22"/>
                <w:szCs w:val="22"/>
              </w:rPr>
              <w:t>Au cas par cas</w:t>
            </w:r>
          </w:p>
        </w:tc>
      </w:tr>
      <w:tr w:rsidR="003B1A64" w:rsidRPr="0061181A" w14:paraId="47EC2CFF" w14:textId="77777777" w:rsidTr="00CB62C4">
        <w:trPr>
          <w:trHeight w:val="240"/>
        </w:trPr>
        <w:tc>
          <w:tcPr>
            <w:tcW w:w="2269" w:type="dxa"/>
            <w:gridSpan w:val="2"/>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525" w:type="dxa"/>
            <w:gridSpan w:val="2"/>
            <w:vAlign w:val="center"/>
          </w:tcPr>
          <w:p w14:paraId="42440E7A" w14:textId="17CF20E4" w:rsidR="00A7086C" w:rsidRPr="0061181A" w:rsidRDefault="002E78EB" w:rsidP="0061181A">
            <w:pPr>
              <w:spacing w:before="80"/>
              <w:contextualSpacing w:val="0"/>
              <w:rPr>
                <w:rFonts w:ascii="Calibri" w:hAnsi="Calibri"/>
                <w:color w:val="000000" w:themeColor="text1"/>
                <w:sz w:val="22"/>
                <w:szCs w:val="22"/>
              </w:rPr>
            </w:pPr>
            <w:r>
              <w:rPr>
                <w:rFonts w:ascii="Calibri" w:hAnsi="Calibri"/>
                <w:color w:val="000000" w:themeColor="text1"/>
                <w:sz w:val="22"/>
                <w:szCs w:val="22"/>
              </w:rPr>
              <w:t>Fixée</w:t>
            </w:r>
            <w:r w:rsidR="00A7086C">
              <w:rPr>
                <w:rFonts w:ascii="Calibri" w:hAnsi="Calibri"/>
                <w:color w:val="000000" w:themeColor="text1"/>
                <w:sz w:val="22"/>
                <w:szCs w:val="22"/>
              </w:rPr>
              <w:t xml:space="preserve"> à 15 ans dans l’arrêté conjoint fixant les redevances de prélèvement des charges d’instruction et des charges d’acquisition </w:t>
            </w:r>
          </w:p>
        </w:tc>
      </w:tr>
      <w:tr w:rsidR="00EB444C" w:rsidRPr="0061181A" w14:paraId="140AAE31" w14:textId="77777777" w:rsidTr="00CB62C4">
        <w:trPr>
          <w:trHeight w:val="120"/>
        </w:trPr>
        <w:tc>
          <w:tcPr>
            <w:tcW w:w="2269" w:type="dxa"/>
            <w:gridSpan w:val="2"/>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525" w:type="dxa"/>
            <w:gridSpan w:val="2"/>
            <w:vAlign w:val="center"/>
          </w:tcPr>
          <w:p w14:paraId="653C12DA" w14:textId="23863D30" w:rsidR="00E15C80" w:rsidRPr="00E15C80" w:rsidRDefault="00E15C80" w:rsidP="00E15C80">
            <w:pPr>
              <w:spacing w:before="80" w:after="80"/>
              <w:rPr>
                <w:rFonts w:ascii="Calibri" w:hAnsi="Calibri"/>
                <w:color w:val="000000" w:themeColor="text1"/>
                <w:sz w:val="22"/>
                <w:szCs w:val="22"/>
              </w:rPr>
            </w:pPr>
            <w:r w:rsidRPr="00E15C80">
              <w:rPr>
                <w:rFonts w:ascii="Calibri" w:hAnsi="Calibri"/>
                <w:color w:val="000000" w:themeColor="text1"/>
                <w:sz w:val="22"/>
                <w:szCs w:val="22"/>
              </w:rPr>
              <w:t xml:space="preserve">Fixé annuellement par Arrêté conjoint </w:t>
            </w:r>
            <w:r w:rsidR="00574B12" w:rsidRPr="00E15C80">
              <w:rPr>
                <w:rFonts w:ascii="Calibri" w:hAnsi="Calibri"/>
                <w:color w:val="000000" w:themeColor="text1"/>
                <w:sz w:val="22"/>
                <w:szCs w:val="22"/>
              </w:rPr>
              <w:t>des Ministres en</w:t>
            </w:r>
            <w:r w:rsidRPr="00E15C80">
              <w:rPr>
                <w:rFonts w:ascii="Calibri" w:hAnsi="Calibri"/>
                <w:color w:val="000000" w:themeColor="text1"/>
                <w:sz w:val="22"/>
                <w:szCs w:val="22"/>
              </w:rPr>
              <w:t xml:space="preserve"> charge de l’Energie et de l’Hydraulique </w:t>
            </w:r>
            <w:r w:rsidR="00574B12" w:rsidRPr="00E15C80">
              <w:rPr>
                <w:rFonts w:ascii="Calibri" w:hAnsi="Calibri"/>
                <w:color w:val="000000" w:themeColor="text1"/>
                <w:sz w:val="22"/>
                <w:szCs w:val="22"/>
              </w:rPr>
              <w:t>et d’Economie</w:t>
            </w:r>
            <w:r w:rsidRPr="00E15C80">
              <w:rPr>
                <w:rFonts w:ascii="Calibri" w:hAnsi="Calibri"/>
                <w:color w:val="000000" w:themeColor="text1"/>
                <w:sz w:val="22"/>
                <w:szCs w:val="22"/>
              </w:rPr>
              <w:t xml:space="preserve"> et des finances</w:t>
            </w:r>
          </w:p>
          <w:p w14:paraId="4CAC1FAB" w14:textId="002D917D" w:rsidR="00E15C80" w:rsidRPr="00E15C80" w:rsidRDefault="00E15C80" w:rsidP="00E15C80">
            <w:pPr>
              <w:spacing w:before="80" w:after="80"/>
              <w:rPr>
                <w:rFonts w:ascii="Calibri" w:hAnsi="Calibri"/>
                <w:color w:val="000000" w:themeColor="text1"/>
                <w:sz w:val="22"/>
                <w:szCs w:val="22"/>
              </w:rPr>
            </w:pPr>
            <w:r w:rsidRPr="00E15C80">
              <w:rPr>
                <w:rFonts w:ascii="Calibri" w:hAnsi="Calibri"/>
                <w:color w:val="000000" w:themeColor="text1"/>
                <w:sz w:val="22"/>
                <w:szCs w:val="22"/>
              </w:rPr>
              <w:t>La redevance correspond  :</w:t>
            </w:r>
          </w:p>
          <w:p w14:paraId="0247C13C" w14:textId="7057E57E" w:rsidR="00E15C80" w:rsidRPr="00E15C80" w:rsidRDefault="002E78EB" w:rsidP="003A6165">
            <w:pPr>
              <w:pStyle w:val="Paragraphedeliste"/>
              <w:numPr>
                <w:ilvl w:val="0"/>
                <w:numId w:val="5"/>
              </w:numPr>
              <w:spacing w:before="80"/>
              <w:ind w:left="360"/>
              <w:rPr>
                <w:rFonts w:ascii="Calibri" w:hAnsi="Calibri"/>
                <w:color w:val="000000" w:themeColor="text1"/>
                <w:sz w:val="22"/>
                <w:szCs w:val="22"/>
              </w:rPr>
            </w:pPr>
            <w:r>
              <w:rPr>
                <w:rFonts w:ascii="Calibri" w:hAnsi="Calibri"/>
                <w:color w:val="000000" w:themeColor="text1"/>
                <w:sz w:val="22"/>
                <w:szCs w:val="22"/>
              </w:rPr>
              <w:t>Aux</w:t>
            </w:r>
            <w:r w:rsidR="00E15C80" w:rsidRPr="00E15C80">
              <w:rPr>
                <w:rFonts w:ascii="Calibri" w:hAnsi="Calibri"/>
                <w:color w:val="000000" w:themeColor="text1"/>
                <w:sz w:val="22"/>
                <w:szCs w:val="22"/>
              </w:rPr>
              <w:t xml:space="preserve"> charges d’instruction des demandes </w:t>
            </w:r>
            <w:r w:rsidR="00095BAA">
              <w:rPr>
                <w:rFonts w:ascii="Calibri" w:hAnsi="Calibri"/>
                <w:color w:val="000000" w:themeColor="text1"/>
                <w:sz w:val="22"/>
                <w:szCs w:val="22"/>
              </w:rPr>
              <w:t>de concession</w:t>
            </w:r>
            <w:r w:rsidR="00E15C80" w:rsidRPr="00E15C80">
              <w:rPr>
                <w:rFonts w:ascii="Calibri" w:hAnsi="Calibri"/>
                <w:color w:val="000000" w:themeColor="text1"/>
                <w:sz w:val="22"/>
                <w:szCs w:val="22"/>
              </w:rPr>
              <w:t xml:space="preserve"> ou de récolement des travaux payable au compte de la </w:t>
            </w:r>
            <w:r>
              <w:rPr>
                <w:rFonts w:ascii="Calibri" w:hAnsi="Calibri"/>
                <w:color w:val="000000" w:themeColor="text1"/>
                <w:sz w:val="22"/>
                <w:szCs w:val="22"/>
              </w:rPr>
              <w:t>D</w:t>
            </w:r>
            <w:r w:rsidR="00E15C80" w:rsidRPr="00E15C80">
              <w:rPr>
                <w:rFonts w:ascii="Calibri" w:hAnsi="Calibri"/>
                <w:color w:val="000000" w:themeColor="text1"/>
                <w:sz w:val="22"/>
                <w:szCs w:val="22"/>
              </w:rPr>
              <w:t xml:space="preserve">irection </w:t>
            </w:r>
            <w:r>
              <w:rPr>
                <w:rFonts w:ascii="Calibri" w:hAnsi="Calibri"/>
                <w:color w:val="000000" w:themeColor="text1"/>
                <w:sz w:val="22"/>
                <w:szCs w:val="22"/>
              </w:rPr>
              <w:t>N</w:t>
            </w:r>
            <w:r w:rsidR="00E15C80" w:rsidRPr="00E15C80">
              <w:rPr>
                <w:rFonts w:ascii="Calibri" w:hAnsi="Calibri"/>
                <w:color w:val="000000" w:themeColor="text1"/>
                <w:sz w:val="22"/>
                <w:szCs w:val="22"/>
              </w:rPr>
              <w:t>ationale</w:t>
            </w:r>
            <w:r>
              <w:rPr>
                <w:rFonts w:ascii="Calibri" w:hAnsi="Calibri"/>
                <w:color w:val="000000" w:themeColor="text1"/>
                <w:sz w:val="22"/>
                <w:szCs w:val="22"/>
              </w:rPr>
              <w:t xml:space="preserve"> de Hydraulique</w:t>
            </w:r>
            <w:r w:rsidR="00E15C80" w:rsidRPr="00E15C80">
              <w:rPr>
                <w:rFonts w:ascii="Calibri" w:hAnsi="Calibri"/>
                <w:color w:val="000000" w:themeColor="text1"/>
                <w:sz w:val="22"/>
                <w:szCs w:val="22"/>
              </w:rPr>
              <w:t xml:space="preserve"> par chèque ou virement</w:t>
            </w:r>
          </w:p>
          <w:p w14:paraId="385E485B" w14:textId="2097E82A" w:rsidR="00FA7685" w:rsidRPr="0061181A" w:rsidRDefault="002E78EB" w:rsidP="003A6165">
            <w:pPr>
              <w:pStyle w:val="Paragraphedeliste"/>
              <w:numPr>
                <w:ilvl w:val="0"/>
                <w:numId w:val="5"/>
              </w:numPr>
              <w:spacing w:before="80"/>
              <w:ind w:left="360"/>
              <w:rPr>
                <w:rFonts w:ascii="Calibri" w:hAnsi="Calibri"/>
                <w:color w:val="000000" w:themeColor="text1"/>
                <w:sz w:val="22"/>
                <w:szCs w:val="22"/>
              </w:rPr>
            </w:pPr>
            <w:r>
              <w:rPr>
                <w:rFonts w:ascii="Calibri" w:hAnsi="Calibri"/>
                <w:color w:val="000000" w:themeColor="text1"/>
                <w:sz w:val="22"/>
                <w:szCs w:val="22"/>
              </w:rPr>
              <w:t>A l</w:t>
            </w:r>
            <w:r w:rsidR="00E15C80" w:rsidRPr="00E15C80">
              <w:rPr>
                <w:rFonts w:ascii="Calibri" w:hAnsi="Calibri"/>
                <w:color w:val="000000" w:themeColor="text1"/>
                <w:sz w:val="22"/>
                <w:szCs w:val="22"/>
              </w:rPr>
              <w:t xml:space="preserve">a redevance due </w:t>
            </w:r>
            <w:r>
              <w:rPr>
                <w:rFonts w:ascii="Calibri" w:hAnsi="Calibri"/>
                <w:color w:val="000000" w:themeColor="text1"/>
                <w:sz w:val="22"/>
                <w:szCs w:val="22"/>
              </w:rPr>
              <w:t xml:space="preserve">pour </w:t>
            </w:r>
            <w:r w:rsidR="00E15C80" w:rsidRPr="00E15C80">
              <w:rPr>
                <w:rFonts w:ascii="Calibri" w:hAnsi="Calibri"/>
                <w:color w:val="000000" w:themeColor="text1"/>
                <w:sz w:val="22"/>
                <w:szCs w:val="22"/>
              </w:rPr>
              <w:t>l’acquisition des droits d’eau payable sur le compte de la Direction Nationale du Fonds de l’hydraulique par chèque ou par virement</w:t>
            </w:r>
            <w:r>
              <w:rPr>
                <w:rFonts w:ascii="Calibri" w:hAnsi="Calibri"/>
                <w:color w:val="000000" w:themeColor="text1"/>
                <w:sz w:val="22"/>
                <w:szCs w:val="22"/>
              </w:rPr>
              <w:t>.</w:t>
            </w:r>
          </w:p>
        </w:tc>
      </w:tr>
      <w:tr w:rsidR="00EB444C" w:rsidRPr="0061181A" w14:paraId="36725839" w14:textId="77777777" w:rsidTr="00CB62C4">
        <w:tc>
          <w:tcPr>
            <w:tcW w:w="5123" w:type="dxa"/>
            <w:gridSpan w:val="3"/>
            <w:shd w:val="clear" w:color="auto" w:fill="BFBFBF"/>
            <w:vAlign w:val="center"/>
          </w:tcPr>
          <w:p w14:paraId="78C94D30" w14:textId="1C718C2E"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w:t>
            </w:r>
            <w:r w:rsidR="00095BAA">
              <w:rPr>
                <w:rFonts w:ascii="Calibri" w:eastAsia="Calibri" w:hAnsi="Calibri" w:cs="Calibri"/>
                <w:b/>
                <w:color w:val="000000" w:themeColor="text1"/>
                <w:sz w:val="22"/>
                <w:szCs w:val="22"/>
              </w:rPr>
              <w:t>de concession</w:t>
            </w:r>
            <w:r w:rsidRPr="0061181A">
              <w:rPr>
                <w:rFonts w:ascii="Calibri" w:eastAsia="Calibri" w:hAnsi="Calibri" w:cs="Calibri"/>
                <w:b/>
                <w:color w:val="000000" w:themeColor="text1"/>
                <w:sz w:val="22"/>
                <w:szCs w:val="22"/>
              </w:rPr>
              <w:t xml:space="preserve">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0E120EA7"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 xml:space="preserve">à fournir pour la demande </w:t>
            </w:r>
            <w:r w:rsidR="00095BAA">
              <w:rPr>
                <w:rFonts w:ascii="Calibri" w:eastAsia="Calibri" w:hAnsi="Calibri" w:cs="Calibri"/>
                <w:b/>
                <w:sz w:val="22"/>
                <w:szCs w:val="22"/>
              </w:rPr>
              <w:t>de concessions</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CB62C4">
        <w:trPr>
          <w:trHeight w:val="748"/>
        </w:trPr>
        <w:tc>
          <w:tcPr>
            <w:tcW w:w="5123" w:type="dxa"/>
            <w:gridSpan w:val="3"/>
            <w:vAlign w:val="center"/>
          </w:tcPr>
          <w:p w14:paraId="5BAF6610" w14:textId="4F92255E" w:rsidR="00FA7685" w:rsidRPr="0061181A" w:rsidRDefault="00C66719" w:rsidP="0061181A">
            <w:pPr>
              <w:contextualSpacing w:val="0"/>
              <w:rPr>
                <w:rFonts w:ascii="Calibri" w:hAnsi="Calibri"/>
                <w:sz w:val="22"/>
                <w:szCs w:val="22"/>
              </w:rPr>
            </w:pPr>
            <w:r>
              <w:rPr>
                <w:rFonts w:ascii="Calibri" w:hAnsi="Calibri"/>
                <w:sz w:val="22"/>
                <w:szCs w:val="22"/>
              </w:rPr>
              <w:t>Aucun</w:t>
            </w:r>
          </w:p>
        </w:tc>
        <w:tc>
          <w:tcPr>
            <w:tcW w:w="5671" w:type="dxa"/>
            <w:vAlign w:val="center"/>
          </w:tcPr>
          <w:p w14:paraId="72EB481B" w14:textId="0BD82DB7" w:rsidR="00FA7685" w:rsidRPr="0061181A" w:rsidRDefault="002E78EB" w:rsidP="00574B12">
            <w:pPr>
              <w:contextualSpacing w:val="0"/>
              <w:rPr>
                <w:rFonts w:ascii="Calibri" w:hAnsi="Calibri"/>
                <w:sz w:val="22"/>
                <w:szCs w:val="22"/>
              </w:rPr>
            </w:pPr>
            <w:r>
              <w:rPr>
                <w:rFonts w:ascii="Calibri" w:hAnsi="Calibri"/>
                <w:sz w:val="22"/>
                <w:szCs w:val="22"/>
              </w:rPr>
              <w:t>NI</w:t>
            </w:r>
          </w:p>
        </w:tc>
      </w:tr>
      <w:tr w:rsidR="00FA7685" w:rsidRPr="0061181A" w14:paraId="648EA3BB" w14:textId="77777777" w:rsidTr="00CB62C4">
        <w:tc>
          <w:tcPr>
            <w:tcW w:w="5123" w:type="dxa"/>
            <w:gridSpan w:val="3"/>
            <w:shd w:val="clear" w:color="auto" w:fill="BFBFBF"/>
            <w:vAlign w:val="center"/>
          </w:tcPr>
          <w:p w14:paraId="1B273417" w14:textId="495DD047" w:rsidR="00FA7685" w:rsidRPr="0061181A" w:rsidRDefault="003A6165"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Modalités 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095BAA">
              <w:rPr>
                <w:rFonts w:ascii="Calibri" w:eastAsia="Calibri" w:hAnsi="Calibri" w:cs="Calibri"/>
                <w:b/>
                <w:color w:val="000000" w:themeColor="text1"/>
                <w:sz w:val="22"/>
                <w:szCs w:val="22"/>
              </w:rPr>
              <w:t>concession</w:t>
            </w:r>
            <w:r w:rsidR="00AB7870" w:rsidRPr="0061181A">
              <w:rPr>
                <w:rFonts w:ascii="Calibri" w:eastAsia="Calibri" w:hAnsi="Calibri" w:cs="Calibri"/>
                <w:b/>
                <w:color w:val="000000" w:themeColor="text1"/>
                <w:sz w:val="22"/>
                <w:szCs w:val="22"/>
              </w:rPr>
              <w:t xml:space="preserve">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w:t>
            </w:r>
            <w:r w:rsidR="00095BAA">
              <w:rPr>
                <w:rFonts w:ascii="Calibri" w:eastAsia="Calibri" w:hAnsi="Calibri" w:cs="Calibri"/>
                <w:b/>
                <w:color w:val="000000" w:themeColor="text1"/>
                <w:sz w:val="22"/>
                <w:szCs w:val="22"/>
              </w:rPr>
              <w:t>la concession</w:t>
            </w:r>
            <w:r w:rsidR="00AB7870" w:rsidRPr="0061181A">
              <w:rPr>
                <w:rFonts w:ascii="Calibri" w:eastAsia="Calibri" w:hAnsi="Calibri" w:cs="Calibri"/>
                <w:b/>
                <w:color w:val="000000" w:themeColor="text1"/>
                <w:sz w:val="22"/>
                <w:szCs w:val="22"/>
              </w:rPr>
              <w:t xml:space="preserve">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6D62BB45"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w:t>
            </w:r>
            <w:r w:rsidR="00095BAA">
              <w:rPr>
                <w:rFonts w:ascii="Calibri" w:eastAsia="Calibri" w:hAnsi="Calibri" w:cs="Calibri"/>
                <w:b/>
                <w:sz w:val="22"/>
                <w:szCs w:val="22"/>
              </w:rPr>
              <w:t>la concession</w:t>
            </w:r>
            <w:r w:rsidR="00172A8F" w:rsidRPr="0061181A">
              <w:rPr>
                <w:rFonts w:ascii="Calibri" w:eastAsia="Calibri" w:hAnsi="Calibri" w:cs="Calibri"/>
                <w:b/>
                <w:sz w:val="22"/>
                <w:szCs w:val="22"/>
              </w:rPr>
              <w:t>)</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CB62C4">
        <w:trPr>
          <w:trHeight w:val="1780"/>
        </w:trPr>
        <w:tc>
          <w:tcPr>
            <w:tcW w:w="5123" w:type="dxa"/>
            <w:gridSpan w:val="3"/>
            <w:vAlign w:val="center"/>
          </w:tcPr>
          <w:p w14:paraId="71EAA3C4" w14:textId="77777777" w:rsidR="00470F99" w:rsidRPr="0003157F" w:rsidRDefault="00470F99" w:rsidP="00470F99">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Promoteur :</w:t>
            </w:r>
            <w:r w:rsidRPr="0003157F">
              <w:rPr>
                <w:rFonts w:ascii="Calibri" w:hAnsi="Calibri"/>
                <w:color w:val="000000" w:themeColor="text1"/>
                <w:sz w:val="22"/>
                <w:szCs w:val="22"/>
              </w:rPr>
              <w:t xml:space="preserve"> dépose une demande de droit d’eau au niveau du Secrétariat du Préfet ou du Ministre en charge de l’Hydraulique</w:t>
            </w:r>
          </w:p>
          <w:p w14:paraId="51998EFD" w14:textId="77777777" w:rsidR="00470F99" w:rsidRPr="0003157F" w:rsidRDefault="00470F99" w:rsidP="00470F99">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Ministre en charge de l’hydraulique</w:t>
            </w:r>
            <w:r w:rsidRPr="0003157F">
              <w:rPr>
                <w:rFonts w:ascii="Calibri" w:hAnsi="Calibri"/>
                <w:color w:val="000000" w:themeColor="text1"/>
                <w:sz w:val="22"/>
                <w:szCs w:val="22"/>
              </w:rPr>
              <w:t> : transmet à la DNH pour instruction</w:t>
            </w:r>
          </w:p>
          <w:p w14:paraId="0B0F5243" w14:textId="77777777" w:rsidR="00470F99" w:rsidRPr="0003157F" w:rsidRDefault="00470F99" w:rsidP="00470F99">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DNH</w:t>
            </w:r>
            <w:r w:rsidRPr="0003157F">
              <w:rPr>
                <w:rFonts w:ascii="Calibri" w:hAnsi="Calibri"/>
                <w:color w:val="000000" w:themeColor="text1"/>
                <w:sz w:val="22"/>
                <w:szCs w:val="22"/>
              </w:rPr>
              <w:t> : valide la complétude et la conformité du dossier (Division Législation et réglementation et Section Administration des droits d’eau). Prépare une lettre de rejet ou organise une visite de récolement selon les cas. Suite à la visite, prépare un rapport et projet d’acte.</w:t>
            </w:r>
          </w:p>
          <w:p w14:paraId="65D3795A" w14:textId="77777777" w:rsidR="00470F99" w:rsidRPr="0003157F" w:rsidRDefault="00470F99" w:rsidP="00470F99">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Ministre</w:t>
            </w:r>
            <w:r w:rsidRPr="0003157F">
              <w:rPr>
                <w:rFonts w:ascii="Calibri" w:hAnsi="Calibri"/>
                <w:color w:val="000000" w:themeColor="text1"/>
                <w:sz w:val="22"/>
                <w:szCs w:val="22"/>
              </w:rPr>
              <w:t> : approuve le rap</w:t>
            </w:r>
            <w:r>
              <w:rPr>
                <w:rFonts w:ascii="Calibri" w:hAnsi="Calibri"/>
                <w:color w:val="000000" w:themeColor="text1"/>
                <w:sz w:val="22"/>
                <w:szCs w:val="22"/>
              </w:rPr>
              <w:t xml:space="preserve">port d’instruction, </w:t>
            </w:r>
            <w:r w:rsidRPr="0003157F">
              <w:rPr>
                <w:rFonts w:ascii="Calibri" w:hAnsi="Calibri"/>
                <w:color w:val="000000" w:themeColor="text1"/>
                <w:sz w:val="22"/>
                <w:szCs w:val="22"/>
              </w:rPr>
              <w:t>signe l’autorisation</w:t>
            </w:r>
            <w:r>
              <w:rPr>
                <w:rFonts w:ascii="Calibri" w:hAnsi="Calibri"/>
                <w:color w:val="000000" w:themeColor="text1"/>
                <w:sz w:val="22"/>
                <w:szCs w:val="22"/>
              </w:rPr>
              <w:t xml:space="preserve"> et informe le Promoteur</w:t>
            </w:r>
          </w:p>
          <w:p w14:paraId="7CE3678E" w14:textId="77777777" w:rsidR="00470F99" w:rsidRDefault="00470F99" w:rsidP="00470F99">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Secrétariat Général du Gouvernement</w:t>
            </w:r>
            <w:r w:rsidRPr="0003157F">
              <w:rPr>
                <w:rFonts w:ascii="Calibri" w:hAnsi="Calibri"/>
                <w:color w:val="000000" w:themeColor="text1"/>
                <w:sz w:val="22"/>
                <w:szCs w:val="22"/>
              </w:rPr>
              <w:t> : enregistre l’acte</w:t>
            </w:r>
          </w:p>
          <w:p w14:paraId="3B08A813" w14:textId="77777777" w:rsidR="00470F99" w:rsidRDefault="00470F99" w:rsidP="00470F99">
            <w:pPr>
              <w:rPr>
                <w:rFonts w:ascii="Calibri" w:hAnsi="Calibri"/>
                <w:color w:val="000000" w:themeColor="text1"/>
                <w:sz w:val="22"/>
                <w:szCs w:val="22"/>
              </w:rPr>
            </w:pPr>
          </w:p>
          <w:p w14:paraId="5624B38C" w14:textId="77777777" w:rsidR="00470F99" w:rsidRPr="00E42133" w:rsidRDefault="00470F99" w:rsidP="00470F99">
            <w:pPr>
              <w:rPr>
                <w:rFonts w:ascii="Calibri" w:hAnsi="Calibri"/>
                <w:color w:val="000000" w:themeColor="text1"/>
                <w:sz w:val="22"/>
                <w:szCs w:val="22"/>
              </w:rPr>
            </w:pPr>
            <w:r>
              <w:rPr>
                <w:rFonts w:ascii="Calibri" w:hAnsi="Calibri"/>
                <w:color w:val="000000" w:themeColor="text1"/>
                <w:sz w:val="22"/>
                <w:szCs w:val="22"/>
              </w:rPr>
              <w:t xml:space="preserve">Le renouvellement est possible. Pour l’obtenir, le titulaire </w:t>
            </w:r>
            <w:r w:rsidRPr="005D1A23">
              <w:rPr>
                <w:rFonts w:ascii="Calibri" w:hAnsi="Calibri"/>
                <w:color w:val="000000" w:themeColor="text1"/>
                <w:sz w:val="22"/>
                <w:szCs w:val="22"/>
              </w:rPr>
              <w:t>adresse une demande au Préfet trois mois au moins avant l‘expiration.</w:t>
            </w:r>
          </w:p>
          <w:p w14:paraId="4F2C2588" w14:textId="260D955E" w:rsidR="00A93396" w:rsidRPr="00A93396" w:rsidRDefault="00A93396" w:rsidP="00A93396">
            <w:pPr>
              <w:rPr>
                <w:rFonts w:ascii="Calibri" w:hAnsi="Calibri"/>
                <w:color w:val="000000" w:themeColor="text1"/>
                <w:sz w:val="22"/>
                <w:szCs w:val="22"/>
              </w:rPr>
            </w:pPr>
          </w:p>
        </w:tc>
        <w:tc>
          <w:tcPr>
            <w:tcW w:w="5671" w:type="dxa"/>
            <w:vAlign w:val="center"/>
          </w:tcPr>
          <w:p w14:paraId="1B1FCF20" w14:textId="5F133375" w:rsidR="00F36430" w:rsidRPr="0061181A" w:rsidRDefault="002E78EB" w:rsidP="0061181A">
            <w:pPr>
              <w:contextualSpacing w:val="0"/>
              <w:rPr>
                <w:rFonts w:ascii="Calibri" w:hAnsi="Calibri"/>
                <w:sz w:val="22"/>
                <w:szCs w:val="22"/>
              </w:rPr>
            </w:pPr>
            <w:r>
              <w:rPr>
                <w:rFonts w:ascii="Calibri" w:hAnsi="Calibri"/>
                <w:sz w:val="22"/>
                <w:szCs w:val="22"/>
              </w:rPr>
              <w:t>NI</w:t>
            </w:r>
          </w:p>
        </w:tc>
      </w:tr>
      <w:tr w:rsidR="00B244DB" w:rsidRPr="0061181A" w14:paraId="2D360A42" w14:textId="77777777" w:rsidTr="00CB62C4">
        <w:trPr>
          <w:trHeight w:val="56"/>
        </w:trPr>
        <w:tc>
          <w:tcPr>
            <w:tcW w:w="5123" w:type="dxa"/>
            <w:gridSpan w:val="3"/>
            <w:shd w:val="clear" w:color="auto" w:fill="BFBFBF" w:themeFill="background1" w:themeFillShade="BF"/>
            <w:vAlign w:val="center"/>
          </w:tcPr>
          <w:p w14:paraId="46BB4B72" w14:textId="5A4B48F0"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w:t>
            </w:r>
            <w:r w:rsidR="00095BAA">
              <w:rPr>
                <w:rFonts w:ascii="Calibri" w:eastAsia="Calibri" w:hAnsi="Calibri" w:cs="Calibri"/>
                <w:b/>
                <w:color w:val="000000" w:themeColor="text1"/>
                <w:sz w:val="22"/>
                <w:szCs w:val="22"/>
              </w:rPr>
              <w:t>la concession</w:t>
            </w:r>
            <w:r w:rsidRPr="0061181A">
              <w:rPr>
                <w:rFonts w:ascii="Calibri" w:eastAsia="Calibri" w:hAnsi="Calibri" w:cs="Calibri"/>
                <w:b/>
                <w:color w:val="000000" w:themeColor="text1"/>
                <w:sz w:val="22"/>
                <w:szCs w:val="22"/>
              </w:rPr>
              <w:t xml:space="preserve">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CB62C4">
        <w:trPr>
          <w:trHeight w:val="1780"/>
        </w:trPr>
        <w:tc>
          <w:tcPr>
            <w:tcW w:w="5123" w:type="dxa"/>
            <w:gridSpan w:val="3"/>
            <w:vAlign w:val="center"/>
          </w:tcPr>
          <w:p w14:paraId="5CFE6191" w14:textId="77777777" w:rsidR="00072314" w:rsidRPr="0061181A" w:rsidRDefault="00072314" w:rsidP="00072314">
            <w:pPr>
              <w:rPr>
                <w:rFonts w:ascii="Calibri" w:hAnsi="Calibri"/>
                <w:sz w:val="22"/>
                <w:szCs w:val="22"/>
              </w:rPr>
            </w:pPr>
          </w:p>
          <w:p w14:paraId="25F1DE54" w14:textId="49413F2B" w:rsidR="00072314" w:rsidRDefault="00072314" w:rsidP="00072314">
            <w:pPr>
              <w:rPr>
                <w:rFonts w:ascii="Calibri" w:hAnsi="Calibri"/>
                <w:color w:val="000000" w:themeColor="text1"/>
                <w:sz w:val="22"/>
                <w:szCs w:val="22"/>
              </w:rPr>
            </w:pPr>
            <w:r>
              <w:rPr>
                <w:rFonts w:ascii="Calibri" w:hAnsi="Calibri"/>
                <w:color w:val="000000" w:themeColor="text1"/>
                <w:sz w:val="22"/>
                <w:szCs w:val="22"/>
              </w:rPr>
              <w:t>O</w:t>
            </w:r>
            <w:r w:rsidR="003A6165">
              <w:rPr>
                <w:rFonts w:ascii="Calibri" w:hAnsi="Calibri"/>
                <w:color w:val="000000" w:themeColor="text1"/>
                <w:sz w:val="22"/>
                <w:szCs w:val="22"/>
              </w:rPr>
              <w:t>ui</w:t>
            </w:r>
            <w:r>
              <w:rPr>
                <w:rFonts w:ascii="Calibri" w:hAnsi="Calibri"/>
                <w:color w:val="000000" w:themeColor="text1"/>
                <w:sz w:val="22"/>
                <w:szCs w:val="22"/>
              </w:rPr>
              <w:t xml:space="preserve">. </w:t>
            </w:r>
            <w:r w:rsidR="00470F99">
              <w:rPr>
                <w:rFonts w:ascii="Calibri" w:hAnsi="Calibri"/>
                <w:color w:val="000000" w:themeColor="text1"/>
                <w:sz w:val="22"/>
                <w:szCs w:val="22"/>
              </w:rPr>
              <w:t>Coordination possible avec le Ministère des Mines</w:t>
            </w:r>
            <w:r w:rsidR="00A7086C">
              <w:rPr>
                <w:rFonts w:ascii="Calibri" w:hAnsi="Calibri"/>
                <w:color w:val="000000" w:themeColor="text1"/>
                <w:sz w:val="22"/>
                <w:szCs w:val="22"/>
              </w:rPr>
              <w:t>.</w:t>
            </w:r>
          </w:p>
          <w:p w14:paraId="672141DD" w14:textId="2EE335A3" w:rsidR="00A7086C" w:rsidRPr="0061181A" w:rsidRDefault="00A7086C" w:rsidP="00072314">
            <w:pPr>
              <w:rPr>
                <w:rFonts w:ascii="Calibri" w:hAnsi="Calibri"/>
                <w:sz w:val="22"/>
                <w:szCs w:val="22"/>
              </w:rPr>
            </w:pPr>
            <w:r>
              <w:rPr>
                <w:rFonts w:ascii="Calibri" w:hAnsi="Calibri"/>
                <w:color w:val="000000" w:themeColor="text1"/>
                <w:sz w:val="22"/>
                <w:szCs w:val="22"/>
              </w:rPr>
              <w:t xml:space="preserve">La résolution rapide de ce problème  est possible par le biais de la CTI coordonné par la primature.  </w:t>
            </w:r>
          </w:p>
          <w:p w14:paraId="0D344E10" w14:textId="2CABFC64" w:rsidR="00B244DB" w:rsidRPr="0061181A" w:rsidRDefault="00B244DB" w:rsidP="0061181A">
            <w:pPr>
              <w:rPr>
                <w:rFonts w:ascii="Calibri" w:hAnsi="Calibri"/>
                <w:color w:val="000000" w:themeColor="text1"/>
                <w:sz w:val="22"/>
                <w:szCs w:val="22"/>
              </w:rPr>
            </w:pPr>
          </w:p>
        </w:tc>
        <w:tc>
          <w:tcPr>
            <w:tcW w:w="5671" w:type="dxa"/>
            <w:vAlign w:val="center"/>
          </w:tcPr>
          <w:p w14:paraId="2AA36540" w14:textId="77777777" w:rsidR="00B244DB" w:rsidRPr="0061181A" w:rsidRDefault="00B244DB" w:rsidP="0061181A">
            <w:pPr>
              <w:rPr>
                <w:rFonts w:ascii="Calibri" w:hAnsi="Calibri"/>
                <w:sz w:val="22"/>
                <w:szCs w:val="22"/>
              </w:rPr>
            </w:pPr>
          </w:p>
          <w:p w14:paraId="379834AB" w14:textId="35B0DC80" w:rsidR="00F36430" w:rsidRPr="0061181A" w:rsidRDefault="00072314" w:rsidP="00072314">
            <w:pPr>
              <w:rPr>
                <w:rFonts w:ascii="Calibri" w:hAnsi="Calibri"/>
                <w:sz w:val="22"/>
                <w:szCs w:val="22"/>
              </w:rPr>
            </w:pPr>
            <w:r>
              <w:rPr>
                <w:rFonts w:ascii="Calibri" w:hAnsi="Calibri"/>
                <w:sz w:val="22"/>
                <w:szCs w:val="22"/>
              </w:rPr>
              <w:t>N</w:t>
            </w:r>
            <w:r w:rsidR="003A6165">
              <w:rPr>
                <w:rFonts w:ascii="Calibri" w:hAnsi="Calibri"/>
                <w:sz w:val="22"/>
                <w:szCs w:val="22"/>
              </w:rPr>
              <w:t>on</w:t>
            </w:r>
          </w:p>
        </w:tc>
      </w:tr>
      <w:tr w:rsidR="00FA7685" w:rsidRPr="0061181A" w14:paraId="0AD3E935" w14:textId="77777777" w:rsidTr="00CB62C4">
        <w:tc>
          <w:tcPr>
            <w:tcW w:w="5123" w:type="dxa"/>
            <w:gridSpan w:val="3"/>
            <w:shd w:val="clear" w:color="auto" w:fill="BFBFBF"/>
            <w:vAlign w:val="center"/>
          </w:tcPr>
          <w:p w14:paraId="7CCA71C6" w14:textId="146088EF"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 xml:space="preserve">Formulaires disponibles pour la demande </w:t>
            </w:r>
            <w:r w:rsidR="00095BAA">
              <w:rPr>
                <w:rFonts w:ascii="Calibri" w:eastAsia="Calibri" w:hAnsi="Calibri" w:cs="Calibri"/>
                <w:b/>
                <w:sz w:val="22"/>
                <w:szCs w:val="22"/>
              </w:rPr>
              <w:t xml:space="preserve">de </w:t>
            </w:r>
            <w:r w:rsidR="00072314">
              <w:rPr>
                <w:rFonts w:ascii="Calibri" w:eastAsia="Calibri" w:hAnsi="Calibri" w:cs="Calibri"/>
                <w:b/>
                <w:sz w:val="22"/>
                <w:szCs w:val="22"/>
              </w:rPr>
              <w:t>concession</w:t>
            </w:r>
            <w:r w:rsidR="00072314" w:rsidRPr="0061181A">
              <w:rPr>
                <w:rFonts w:ascii="Calibri" w:eastAsia="Calibri" w:hAnsi="Calibri" w:cs="Calibri"/>
                <w:b/>
                <w:sz w:val="22"/>
                <w:szCs w:val="22"/>
              </w:rPr>
              <w:t xml:space="preserve"> (</w:t>
            </w:r>
            <w:r w:rsidRPr="0061181A">
              <w:rPr>
                <w:rFonts w:ascii="Calibri" w:eastAsia="Calibri" w:hAnsi="Calibri" w:cs="Calibri"/>
                <w:b/>
                <w:sz w:val="22"/>
                <w:szCs w:val="22"/>
              </w:rPr>
              <w:t>indiquer s’il existe des formulaires et en fournir des copies)</w:t>
            </w:r>
          </w:p>
        </w:tc>
        <w:tc>
          <w:tcPr>
            <w:tcW w:w="5671" w:type="dxa"/>
            <w:shd w:val="clear" w:color="auto" w:fill="BFBFBF"/>
            <w:vAlign w:val="center"/>
          </w:tcPr>
          <w:p w14:paraId="7D7BA0C7" w14:textId="1D290380"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095BAA">
              <w:rPr>
                <w:rFonts w:ascii="Calibri" w:eastAsia="Calibri" w:hAnsi="Calibri" w:cs="Calibri"/>
                <w:b/>
                <w:sz w:val="22"/>
                <w:szCs w:val="22"/>
              </w:rPr>
              <w:t>de concessions</w:t>
            </w:r>
            <w:r w:rsidR="00974DFD" w:rsidRPr="0061181A">
              <w:rPr>
                <w:rFonts w:ascii="Calibri" w:eastAsia="Calibri" w:hAnsi="Calibri" w:cs="Calibri"/>
                <w:b/>
                <w:sz w:val="22"/>
                <w:szCs w:val="22"/>
              </w:rPr>
              <w:t xml:space="preserve"> (indiquer s’il existe des documents types </w:t>
            </w:r>
            <w:r w:rsidR="00095BAA">
              <w:rPr>
                <w:rFonts w:ascii="Calibri" w:eastAsia="Calibri" w:hAnsi="Calibri" w:cs="Calibri"/>
                <w:b/>
                <w:sz w:val="22"/>
                <w:szCs w:val="22"/>
              </w:rPr>
              <w:t>de concession</w:t>
            </w:r>
            <w:r w:rsidR="00974DFD" w:rsidRPr="0061181A">
              <w:rPr>
                <w:rFonts w:ascii="Calibri" w:eastAsia="Calibri" w:hAnsi="Calibri" w:cs="Calibri"/>
                <w:b/>
                <w:sz w:val="22"/>
                <w:szCs w:val="22"/>
              </w:rPr>
              <w:t xml:space="preserve"> et en fournir des copies)</w:t>
            </w:r>
          </w:p>
        </w:tc>
      </w:tr>
      <w:tr w:rsidR="00FA7685" w:rsidRPr="0061181A" w14:paraId="3E12E62B" w14:textId="77777777" w:rsidTr="00CB62C4">
        <w:trPr>
          <w:trHeight w:val="1040"/>
        </w:trPr>
        <w:tc>
          <w:tcPr>
            <w:tcW w:w="5123" w:type="dxa"/>
            <w:gridSpan w:val="3"/>
            <w:vAlign w:val="center"/>
          </w:tcPr>
          <w:p w14:paraId="7EA653EB" w14:textId="677AECCB" w:rsidR="00FA7685" w:rsidRPr="0061181A" w:rsidRDefault="00C66719" w:rsidP="0061181A">
            <w:pPr>
              <w:rPr>
                <w:rFonts w:ascii="Calibri" w:hAnsi="Calibri"/>
                <w:sz w:val="22"/>
                <w:szCs w:val="22"/>
              </w:rPr>
            </w:pPr>
            <w:r>
              <w:rPr>
                <w:rFonts w:ascii="Calibri" w:hAnsi="Calibri"/>
                <w:sz w:val="22"/>
                <w:szCs w:val="22"/>
              </w:rPr>
              <w:t>NI</w:t>
            </w:r>
            <w:r w:rsidR="00A7086C">
              <w:rPr>
                <w:rFonts w:ascii="Calibri" w:hAnsi="Calibri"/>
                <w:sz w:val="22"/>
                <w:szCs w:val="22"/>
              </w:rPr>
              <w:t xml:space="preserve"> ( voir formulaire proposé par l’IWACO en 1996 ( 3</w:t>
            </w:r>
            <w:r w:rsidR="00A7086C" w:rsidRPr="00FF3F26">
              <w:rPr>
                <w:rFonts w:ascii="Calibri" w:hAnsi="Calibri"/>
                <w:sz w:val="22"/>
                <w:szCs w:val="22"/>
                <w:vertAlign w:val="superscript"/>
              </w:rPr>
              <w:t>e</w:t>
            </w:r>
            <w:r w:rsidR="00A7086C">
              <w:rPr>
                <w:rFonts w:ascii="Calibri" w:hAnsi="Calibri"/>
                <w:sz w:val="22"/>
                <w:szCs w:val="22"/>
              </w:rPr>
              <w:t xml:space="preserve"> projet eau et assainissement , composante ressources en eau Rapport sur les textes) </w:t>
            </w:r>
          </w:p>
        </w:tc>
        <w:tc>
          <w:tcPr>
            <w:tcW w:w="5671" w:type="dxa"/>
            <w:vAlign w:val="center"/>
          </w:tcPr>
          <w:p w14:paraId="536AAA44" w14:textId="74E4274A" w:rsidR="00B244DB" w:rsidRPr="0061181A" w:rsidRDefault="00C66719" w:rsidP="00C66719">
            <w:pPr>
              <w:rPr>
                <w:rFonts w:ascii="Calibri" w:hAnsi="Calibri"/>
                <w:sz w:val="22"/>
                <w:szCs w:val="22"/>
              </w:rPr>
            </w:pPr>
            <w:r>
              <w:rPr>
                <w:rFonts w:ascii="Calibri" w:hAnsi="Calibri"/>
                <w:sz w:val="22"/>
                <w:szCs w:val="22"/>
              </w:rPr>
              <w:t>NI</w:t>
            </w:r>
          </w:p>
        </w:tc>
      </w:tr>
      <w:tr w:rsidR="00974DFD" w:rsidRPr="0061181A" w14:paraId="10E6A0FF" w14:textId="77777777" w:rsidTr="00CB62C4">
        <w:trPr>
          <w:trHeight w:val="580"/>
        </w:trPr>
        <w:tc>
          <w:tcPr>
            <w:tcW w:w="5123" w:type="dxa"/>
            <w:gridSpan w:val="3"/>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0236F01C" w:rsidR="00974DFD" w:rsidRPr="0061181A" w:rsidRDefault="00452015" w:rsidP="0061181A">
            <w:pPr>
              <w:rPr>
                <w:rFonts w:ascii="Calibri" w:hAnsi="Calibri"/>
                <w:sz w:val="22"/>
                <w:szCs w:val="22"/>
              </w:rPr>
            </w:pPr>
            <w:r w:rsidRPr="0061181A">
              <w:rPr>
                <w:rFonts w:ascii="Calibri" w:hAnsi="Calibri"/>
                <w:b/>
                <w:sz w:val="22"/>
                <w:szCs w:val="22"/>
              </w:rPr>
              <w:t xml:space="preserve">Existence ou non d’un manuel de procédure pour la délivrance de </w:t>
            </w:r>
            <w:r w:rsidR="00095BAA">
              <w:rPr>
                <w:rFonts w:ascii="Calibri" w:hAnsi="Calibri"/>
                <w:b/>
                <w:sz w:val="22"/>
                <w:szCs w:val="22"/>
              </w:rPr>
              <w:t>concession</w:t>
            </w:r>
            <w:r w:rsidRPr="0061181A">
              <w:rPr>
                <w:rFonts w:ascii="Calibri" w:hAnsi="Calibri"/>
                <w:b/>
                <w:sz w:val="22"/>
                <w:szCs w:val="22"/>
              </w:rPr>
              <w:t xml:space="preserve"> (si oui en fournir une copie)</w:t>
            </w:r>
          </w:p>
        </w:tc>
      </w:tr>
      <w:tr w:rsidR="00974DFD" w:rsidRPr="0061181A" w14:paraId="0716242C" w14:textId="77777777" w:rsidTr="00CB62C4">
        <w:trPr>
          <w:trHeight w:val="699"/>
        </w:trPr>
        <w:tc>
          <w:tcPr>
            <w:tcW w:w="5123" w:type="dxa"/>
            <w:gridSpan w:val="3"/>
            <w:vAlign w:val="center"/>
          </w:tcPr>
          <w:p w14:paraId="5E0A3D5A" w14:textId="77777777" w:rsidR="00C71C6B" w:rsidRPr="0061181A" w:rsidRDefault="00C71C6B" w:rsidP="0061181A">
            <w:pPr>
              <w:rPr>
                <w:rFonts w:ascii="Calibri" w:hAnsi="Calibri"/>
                <w:sz w:val="22"/>
                <w:szCs w:val="22"/>
              </w:rPr>
            </w:pPr>
          </w:p>
          <w:p w14:paraId="49E09BC8" w14:textId="321195F9" w:rsidR="00C71C6B" w:rsidRPr="0061181A" w:rsidRDefault="00470F99" w:rsidP="0061181A">
            <w:pPr>
              <w:rPr>
                <w:rFonts w:ascii="Calibri" w:hAnsi="Calibri"/>
                <w:sz w:val="22"/>
                <w:szCs w:val="22"/>
              </w:rPr>
            </w:pPr>
            <w:r>
              <w:rPr>
                <w:rFonts w:ascii="Calibri" w:hAnsi="Calibri"/>
                <w:sz w:val="22"/>
                <w:szCs w:val="22"/>
              </w:rPr>
              <w:t>Décret</w:t>
            </w:r>
          </w:p>
          <w:p w14:paraId="23EBDEA6" w14:textId="24082D87" w:rsidR="00C71C6B" w:rsidRPr="0061181A" w:rsidRDefault="00C71C6B" w:rsidP="0061181A">
            <w:pPr>
              <w:rPr>
                <w:rFonts w:ascii="Calibri" w:hAnsi="Calibri"/>
                <w:sz w:val="22"/>
                <w:szCs w:val="22"/>
              </w:rPr>
            </w:pPr>
          </w:p>
        </w:tc>
        <w:tc>
          <w:tcPr>
            <w:tcW w:w="5671" w:type="dxa"/>
            <w:vAlign w:val="center"/>
          </w:tcPr>
          <w:p w14:paraId="2AC94984" w14:textId="73C1D465" w:rsidR="00974DFD" w:rsidRPr="0061181A" w:rsidRDefault="00A93396" w:rsidP="0061181A">
            <w:pPr>
              <w:rPr>
                <w:rFonts w:ascii="Calibri" w:hAnsi="Calibri"/>
                <w:sz w:val="22"/>
                <w:szCs w:val="22"/>
              </w:rPr>
            </w:pPr>
            <w:r w:rsidRPr="00A93396">
              <w:rPr>
                <w:rFonts w:ascii="Calibri" w:hAnsi="Calibri"/>
                <w:sz w:val="22"/>
                <w:szCs w:val="22"/>
              </w:rPr>
              <w:t>Pas de procédure écrite. Il existe toutefois des fiches de circulation des courriers</w:t>
            </w:r>
          </w:p>
        </w:tc>
      </w:tr>
      <w:tr w:rsidR="00FA7685" w:rsidRPr="0061181A" w14:paraId="69F91B89" w14:textId="77777777" w:rsidTr="00CB62C4">
        <w:tc>
          <w:tcPr>
            <w:tcW w:w="10794" w:type="dxa"/>
            <w:gridSpan w:val="4"/>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CB62C4">
        <w:trPr>
          <w:trHeight w:val="480"/>
        </w:trPr>
        <w:tc>
          <w:tcPr>
            <w:tcW w:w="2007"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3"/>
            <w:vAlign w:val="center"/>
          </w:tcPr>
          <w:p w14:paraId="30C1B938" w14:textId="40ABCB9F" w:rsidR="00FA7685" w:rsidRPr="0061181A" w:rsidRDefault="00B479DA" w:rsidP="0061181A">
            <w:pPr>
              <w:rPr>
                <w:rFonts w:ascii="Calibri" w:hAnsi="Calibri"/>
                <w:sz w:val="22"/>
                <w:szCs w:val="22"/>
              </w:rPr>
            </w:pPr>
            <w:r w:rsidRPr="003A6165">
              <w:rPr>
                <w:rFonts w:ascii="Calibri" w:hAnsi="Calibri"/>
                <w:sz w:val="22"/>
                <w:szCs w:val="22"/>
              </w:rPr>
              <w:t>Présidence de la république sur proposition du ministère en charge de l’hydraulique (par décret)</w:t>
            </w:r>
          </w:p>
        </w:tc>
      </w:tr>
      <w:tr w:rsidR="00FA7685" w:rsidRPr="0061181A" w14:paraId="2844A1C0" w14:textId="77777777" w:rsidTr="00CB62C4">
        <w:trPr>
          <w:trHeight w:val="400"/>
        </w:trPr>
        <w:tc>
          <w:tcPr>
            <w:tcW w:w="2007"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3"/>
            <w:vAlign w:val="center"/>
          </w:tcPr>
          <w:p w14:paraId="77984965" w14:textId="7EA9ED76" w:rsidR="00C66719" w:rsidRPr="0061181A" w:rsidRDefault="00C1197C" w:rsidP="0061181A">
            <w:pPr>
              <w:rPr>
                <w:rFonts w:ascii="Calibri" w:hAnsi="Calibri"/>
                <w:sz w:val="22"/>
                <w:szCs w:val="22"/>
              </w:rPr>
            </w:pPr>
            <w:r>
              <w:rPr>
                <w:rFonts w:ascii="Calibri" w:hAnsi="Calibri"/>
                <w:sz w:val="22"/>
                <w:szCs w:val="22"/>
              </w:rPr>
              <w:t>Cabinet du Président</w:t>
            </w:r>
            <w:r w:rsidR="00A273C2">
              <w:rPr>
                <w:rFonts w:ascii="Calibri" w:hAnsi="Calibri"/>
                <w:sz w:val="22"/>
                <w:szCs w:val="22"/>
              </w:rPr>
              <w:t xml:space="preserve"> de la République</w:t>
            </w:r>
          </w:p>
        </w:tc>
      </w:tr>
      <w:tr w:rsidR="00FA7685" w:rsidRPr="0061181A" w14:paraId="34130ED6" w14:textId="77777777" w:rsidTr="00CB62C4">
        <w:trPr>
          <w:trHeight w:val="1760"/>
        </w:trPr>
        <w:tc>
          <w:tcPr>
            <w:tcW w:w="2007"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3"/>
            <w:vAlign w:val="center"/>
          </w:tcPr>
          <w:p w14:paraId="0E006584" w14:textId="024CBBF6" w:rsidR="00FA7685" w:rsidRPr="00C74387" w:rsidRDefault="00F00DD8" w:rsidP="00C74387">
            <w:pPr>
              <w:rPr>
                <w:rFonts w:ascii="Calibri" w:eastAsia="Calibri" w:hAnsi="Calibri" w:cs="Calibri"/>
                <w:sz w:val="22"/>
                <w:szCs w:val="22"/>
              </w:rPr>
            </w:pPr>
            <w:r w:rsidRPr="0061181A">
              <w:rPr>
                <w:rFonts w:ascii="Calibri" w:eastAsia="Calibri" w:hAnsi="Calibri" w:cs="Calibri"/>
                <w:sz w:val="22"/>
                <w:szCs w:val="22"/>
              </w:rPr>
              <w:t>Tel:</w:t>
            </w:r>
            <w:r w:rsidR="00C74387">
              <w:t xml:space="preserve"> </w:t>
            </w:r>
          </w:p>
          <w:p w14:paraId="40432456" w14:textId="400CA2C4"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Mail:</w:t>
            </w:r>
            <w:r w:rsidR="00C74387">
              <w:rPr>
                <w:rFonts w:ascii="Calibri" w:eastAsia="Calibri" w:hAnsi="Calibri" w:cs="Calibri"/>
                <w:sz w:val="22"/>
                <w:szCs w:val="22"/>
              </w:rPr>
              <w:t xml:space="preserve"> </w:t>
            </w:r>
          </w:p>
          <w:p w14:paraId="6AD5D799"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Site:</w:t>
            </w:r>
          </w:p>
          <w:p w14:paraId="28BCF90D"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Adresse physique:</w:t>
            </w:r>
          </w:p>
          <w:p w14:paraId="74AB33EC"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Ville:</w:t>
            </w:r>
          </w:p>
          <w:p w14:paraId="66F3DA85"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Horaires d’ouverture:</w:t>
            </w:r>
          </w:p>
        </w:tc>
      </w:tr>
      <w:tr w:rsidR="00B244DB" w:rsidRPr="0061181A" w14:paraId="4B39D658" w14:textId="77777777" w:rsidTr="00CB62C4">
        <w:trPr>
          <w:trHeight w:val="1760"/>
        </w:trPr>
        <w:tc>
          <w:tcPr>
            <w:tcW w:w="2007"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3"/>
            <w:vAlign w:val="center"/>
          </w:tcPr>
          <w:p w14:paraId="0B2CA81B" w14:textId="5E4937A1" w:rsidR="00B479DA" w:rsidRPr="0061181A" w:rsidRDefault="00B479DA" w:rsidP="00072314">
            <w:pPr>
              <w:rPr>
                <w:rFonts w:ascii="Calibri" w:eastAsia="Calibri" w:hAnsi="Calibri" w:cs="Calibri"/>
                <w:sz w:val="22"/>
                <w:szCs w:val="22"/>
              </w:rPr>
            </w:pPr>
          </w:p>
        </w:tc>
      </w:tr>
      <w:tr w:rsidR="00B244DB" w:rsidRPr="0061181A" w14:paraId="361520C8" w14:textId="77777777" w:rsidTr="00CB62C4">
        <w:trPr>
          <w:trHeight w:val="1760"/>
        </w:trPr>
        <w:tc>
          <w:tcPr>
            <w:tcW w:w="2007"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3A6165">
              <w:rPr>
                <w:rFonts w:ascii="Calibri" w:eastAsia="Calibri" w:hAnsi="Calibri" w:cs="Calibri"/>
                <w:color w:val="FF0000"/>
                <w:sz w:val="22"/>
                <w:szCs w:val="22"/>
              </w:rPr>
              <w:t xml:space="preserve">Commentaires et recommandations du Consultant </w:t>
            </w:r>
          </w:p>
        </w:tc>
        <w:tc>
          <w:tcPr>
            <w:tcW w:w="8787" w:type="dxa"/>
            <w:gridSpan w:val="3"/>
            <w:vAlign w:val="center"/>
          </w:tcPr>
          <w:p w14:paraId="719D123C" w14:textId="57C2E6BA" w:rsidR="00816772" w:rsidRPr="003A6165" w:rsidRDefault="00072314" w:rsidP="003A6165">
            <w:pPr>
              <w:pStyle w:val="TexteNodalis"/>
            </w:pPr>
            <w:r w:rsidRPr="002614AD">
              <w:t xml:space="preserve">A </w:t>
            </w:r>
            <w:r w:rsidR="00A7086C">
              <w:t xml:space="preserve">cette </w:t>
            </w:r>
            <w:r w:rsidRPr="002614AD">
              <w:t xml:space="preserve">date, </w:t>
            </w:r>
            <w:r w:rsidR="00470F99">
              <w:t>aucun</w:t>
            </w:r>
            <w:r w:rsidR="00A7086C">
              <w:t>e signature de</w:t>
            </w:r>
            <w:r w:rsidR="00470F99">
              <w:t xml:space="preserve"> décret n’a</w:t>
            </w:r>
            <w:r w:rsidRPr="002614AD">
              <w:t xml:space="preserve"> été </w:t>
            </w:r>
            <w:r w:rsidR="00A7086C">
              <w:t>effectu</w:t>
            </w:r>
            <w:r w:rsidRPr="002614AD">
              <w:t>é</w:t>
            </w:r>
            <w:r w:rsidR="00C1197C">
              <w:t>e</w:t>
            </w:r>
            <w:r w:rsidRPr="002614AD">
              <w:t>.</w:t>
            </w:r>
            <w:r w:rsidR="00A7086C">
              <w:t xml:space="preserve"> Dans cette attente</w:t>
            </w:r>
            <w:r w:rsidRPr="002614AD">
              <w:t>, les sociétés qui souhaitent une concession, une autorisation provisoire est délivrée.</w:t>
            </w:r>
          </w:p>
          <w:p w14:paraId="31D17EEF" w14:textId="56524ED3" w:rsidR="00816772" w:rsidRPr="00816772" w:rsidRDefault="00816772" w:rsidP="00816772">
            <w:pPr>
              <w:rPr>
                <w:rFonts w:ascii="Calibri" w:eastAsia="Calibri" w:hAnsi="Calibri" w:cs="Calibri"/>
                <w:sz w:val="22"/>
                <w:szCs w:val="22"/>
              </w:rPr>
            </w:pPr>
            <w:r w:rsidRPr="00816772">
              <w:rPr>
                <w:rFonts w:ascii="Calibri" w:eastAsia="Calibri" w:hAnsi="Calibri" w:cs="Calibri"/>
                <w:sz w:val="22"/>
                <w:szCs w:val="22"/>
              </w:rPr>
              <w:t xml:space="preserve">Selon le Code Minier (article 100), l'exploitation des eaux souterraines est accordée par arrêté </w:t>
            </w:r>
            <w:r w:rsidR="003A6165" w:rsidRPr="00816772">
              <w:rPr>
                <w:rFonts w:ascii="Calibri" w:eastAsia="Calibri" w:hAnsi="Calibri" w:cs="Calibri"/>
                <w:sz w:val="22"/>
                <w:szCs w:val="22"/>
              </w:rPr>
              <w:t>conjoint</w:t>
            </w:r>
            <w:r w:rsidRPr="00816772">
              <w:rPr>
                <w:rFonts w:ascii="Calibri" w:eastAsia="Calibri" w:hAnsi="Calibri" w:cs="Calibri"/>
                <w:sz w:val="22"/>
                <w:szCs w:val="22"/>
              </w:rPr>
              <w:t xml:space="preserve"> des Ministres des Mines et de l'Hydraulique, ce qui contredit l'article 11 du Code de l'Eau qui attribue compétence au Président de la République statuant par décret.</w:t>
            </w:r>
          </w:p>
          <w:p w14:paraId="40130E37" w14:textId="692D4800" w:rsidR="00C74387" w:rsidRPr="0061181A" w:rsidRDefault="00816772" w:rsidP="00816772">
            <w:pPr>
              <w:rPr>
                <w:rFonts w:ascii="Calibri" w:eastAsia="Calibri" w:hAnsi="Calibri" w:cs="Calibri"/>
                <w:sz w:val="22"/>
                <w:szCs w:val="22"/>
              </w:rPr>
            </w:pPr>
            <w:r w:rsidRPr="00816772">
              <w:rPr>
                <w:rFonts w:ascii="Calibri" w:eastAsia="Calibri" w:hAnsi="Calibri" w:cs="Calibri"/>
                <w:sz w:val="22"/>
                <w:szCs w:val="22"/>
              </w:rPr>
              <w:t xml:space="preserve"> </w:t>
            </w:r>
          </w:p>
        </w:tc>
      </w:tr>
    </w:tbl>
    <w:p w14:paraId="63977976" w14:textId="79AF994A" w:rsidR="00FA7685" w:rsidRDefault="00FA7685"/>
    <w:bookmarkStart w:id="1" w:name="_GoBack"/>
    <w:p w14:paraId="26D260EB" w14:textId="498938D6" w:rsidR="00FF3F26" w:rsidRDefault="00FF3F26" w:rsidP="00FF3F26">
      <w:pPr>
        <w:ind w:left="-567"/>
      </w:pPr>
      <w:r>
        <w:object w:dxaOrig="15585" w:dyaOrig="13486" w14:anchorId="5871F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73.6pt" o:ole="">
            <v:imagedata r:id="rId9" o:title="" cropleft="8883f" cropright="5958f"/>
          </v:shape>
          <o:OLEObject Type="Embed" ProgID="Visio.Drawing.15" ShapeID="_x0000_i1025" DrawAspect="Content" ObjectID="_1548170678" r:id="rId10"/>
        </w:object>
      </w:r>
      <w:bookmarkEnd w:id="1"/>
    </w:p>
    <w:p w14:paraId="6FDCDA81" w14:textId="77777777" w:rsidR="00FF3F26" w:rsidRDefault="00FF3F26" w:rsidP="00FF3F26"/>
    <w:p w14:paraId="6098953B" w14:textId="77777777" w:rsidR="00FF3F26" w:rsidRDefault="00FF3F26"/>
    <w:sectPr w:rsidR="00FF3F26" w:rsidSect="00CB62C4">
      <w:footerReference w:type="default" r:id="rId11"/>
      <w:pgSz w:w="11900" w:h="16840"/>
      <w:pgMar w:top="568"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319C3" w14:textId="77777777" w:rsidR="00653EB6" w:rsidRDefault="00653EB6" w:rsidP="003B1A64">
      <w:r>
        <w:separator/>
      </w:r>
    </w:p>
  </w:endnote>
  <w:endnote w:type="continuationSeparator" w:id="0">
    <w:p w14:paraId="4E3D0DD0" w14:textId="77777777" w:rsidR="00653EB6" w:rsidRDefault="00653EB6"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6F1E6E4F" w:rsidR="00F36430" w:rsidRDefault="00F36430">
        <w:pPr>
          <w:pStyle w:val="Pieddepage"/>
          <w:jc w:val="right"/>
        </w:pPr>
        <w:r>
          <w:fldChar w:fldCharType="begin"/>
        </w:r>
        <w:r>
          <w:instrText>PAGE   \* MERGEFORMAT</w:instrText>
        </w:r>
        <w:r>
          <w:fldChar w:fldCharType="separate"/>
        </w:r>
        <w:r w:rsidR="00CB62C4">
          <w:rPr>
            <w:noProof/>
          </w:rPr>
          <w:t>1</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2DFA" w14:textId="77777777" w:rsidR="00653EB6" w:rsidRDefault="00653EB6" w:rsidP="003B1A64">
      <w:r>
        <w:separator/>
      </w:r>
    </w:p>
  </w:footnote>
  <w:footnote w:type="continuationSeparator" w:id="0">
    <w:p w14:paraId="2E7F5946" w14:textId="77777777" w:rsidR="00653EB6" w:rsidRDefault="00653EB6"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C332B3"/>
    <w:multiLevelType w:val="hybridMultilevel"/>
    <w:tmpl w:val="939AFDCA"/>
    <w:lvl w:ilvl="0" w:tplc="58BA450E">
      <w:numFmt w:val="bullet"/>
      <w:lvlText w:val="-"/>
      <w:lvlJc w:val="left"/>
      <w:pPr>
        <w:ind w:left="1080" w:hanging="72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EA4853"/>
    <w:multiLevelType w:val="hybridMultilevel"/>
    <w:tmpl w:val="1F0C7AEE"/>
    <w:lvl w:ilvl="0" w:tplc="6C9AB750">
      <w:numFmt w:val="bullet"/>
      <w:lvlText w:val="-"/>
      <w:lvlJc w:val="left"/>
      <w:pPr>
        <w:ind w:left="405" w:hanging="360"/>
      </w:pPr>
      <w:rPr>
        <w:rFonts w:ascii="Calibri" w:eastAsia="Cambria" w:hAnsi="Calibri" w:cs="Cambri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45A3347A"/>
    <w:multiLevelType w:val="hybridMultilevel"/>
    <w:tmpl w:val="BB203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646D97"/>
    <w:multiLevelType w:val="hybridMultilevel"/>
    <w:tmpl w:val="25F4431E"/>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6C2310"/>
    <w:multiLevelType w:val="hybridMultilevel"/>
    <w:tmpl w:val="BBCE42E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2440659"/>
    <w:multiLevelType w:val="hybridMultilevel"/>
    <w:tmpl w:val="162E48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2557D5"/>
    <w:multiLevelType w:val="hybridMultilevel"/>
    <w:tmpl w:val="7F28B2D8"/>
    <w:lvl w:ilvl="0" w:tplc="509E4E18">
      <w:start w:val="2"/>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161F80"/>
    <w:multiLevelType w:val="hybridMultilevel"/>
    <w:tmpl w:val="547A26D8"/>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41A23"/>
    <w:rsid w:val="0005363C"/>
    <w:rsid w:val="000609DC"/>
    <w:rsid w:val="00072314"/>
    <w:rsid w:val="00083314"/>
    <w:rsid w:val="00095BAA"/>
    <w:rsid w:val="00167059"/>
    <w:rsid w:val="00172A8F"/>
    <w:rsid w:val="002E78EB"/>
    <w:rsid w:val="00367F48"/>
    <w:rsid w:val="003A6165"/>
    <w:rsid w:val="003B1A64"/>
    <w:rsid w:val="00407C20"/>
    <w:rsid w:val="00444E86"/>
    <w:rsid w:val="00452015"/>
    <w:rsid w:val="00470F99"/>
    <w:rsid w:val="00514B52"/>
    <w:rsid w:val="00521CE0"/>
    <w:rsid w:val="005730EE"/>
    <w:rsid w:val="00574B12"/>
    <w:rsid w:val="005A7BCE"/>
    <w:rsid w:val="005B39D3"/>
    <w:rsid w:val="005F3956"/>
    <w:rsid w:val="0061181A"/>
    <w:rsid w:val="00613B0D"/>
    <w:rsid w:val="00653EB6"/>
    <w:rsid w:val="00674594"/>
    <w:rsid w:val="007B4DDF"/>
    <w:rsid w:val="007D0E3D"/>
    <w:rsid w:val="00804FCF"/>
    <w:rsid w:val="00816772"/>
    <w:rsid w:val="0086167B"/>
    <w:rsid w:val="009047A0"/>
    <w:rsid w:val="00924C12"/>
    <w:rsid w:val="009702D7"/>
    <w:rsid w:val="00974DFD"/>
    <w:rsid w:val="00A273C2"/>
    <w:rsid w:val="00A43DCD"/>
    <w:rsid w:val="00A7086C"/>
    <w:rsid w:val="00A93396"/>
    <w:rsid w:val="00AB652F"/>
    <w:rsid w:val="00AB7870"/>
    <w:rsid w:val="00B244DB"/>
    <w:rsid w:val="00B479DA"/>
    <w:rsid w:val="00B902BA"/>
    <w:rsid w:val="00BE6C22"/>
    <w:rsid w:val="00C1197C"/>
    <w:rsid w:val="00C30E8F"/>
    <w:rsid w:val="00C66719"/>
    <w:rsid w:val="00C71C6B"/>
    <w:rsid w:val="00C74387"/>
    <w:rsid w:val="00CA09ED"/>
    <w:rsid w:val="00CB62C4"/>
    <w:rsid w:val="00CD0CBA"/>
    <w:rsid w:val="00D14015"/>
    <w:rsid w:val="00DE0E86"/>
    <w:rsid w:val="00DE1406"/>
    <w:rsid w:val="00E15C80"/>
    <w:rsid w:val="00EB444C"/>
    <w:rsid w:val="00EB7374"/>
    <w:rsid w:val="00F00DD8"/>
    <w:rsid w:val="00F0798C"/>
    <w:rsid w:val="00F27542"/>
    <w:rsid w:val="00F36430"/>
    <w:rsid w:val="00F70328"/>
    <w:rsid w:val="00FA7685"/>
    <w:rsid w:val="00FC1B28"/>
    <w:rsid w:val="00FF3F26"/>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dalis">
    <w:name w:val="Texte Nodalis"/>
    <w:basedOn w:val="Normal"/>
    <w:link w:val="TexteNodalisCar"/>
    <w:uiPriority w:val="1"/>
    <w:qFormat/>
    <w:rsid w:val="00B479DA"/>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B479DA"/>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dalis">
    <w:name w:val="Texte Nodalis"/>
    <w:basedOn w:val="Normal"/>
    <w:link w:val="TexteNodalisCar"/>
    <w:uiPriority w:val="1"/>
    <w:qFormat/>
    <w:rsid w:val="00B479DA"/>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B479DA"/>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Dessin_Microsoft_Visio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2771-05F4-4E2C-B78A-54645DB2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4276</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4</cp:revision>
  <dcterms:created xsi:type="dcterms:W3CDTF">2017-02-02T11:16:00Z</dcterms:created>
  <dcterms:modified xsi:type="dcterms:W3CDTF">2017-02-09T17:38:00Z</dcterms:modified>
</cp:coreProperties>
</file>