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5D70CD75" w:rsidR="00FA7685" w:rsidRDefault="00751A8E">
      <w:pPr>
        <w:jc w:val="center"/>
      </w:pPr>
      <w:r>
        <w:rPr>
          <w:rFonts w:ascii="Calibri" w:eastAsia="Calibri" w:hAnsi="Calibri" w:cs="Calibri"/>
          <w:b/>
          <w:sz w:val="22"/>
          <w:szCs w:val="22"/>
        </w:rPr>
        <w:t xml:space="preserve">Ministère </w:t>
      </w:r>
      <w:r w:rsidR="000221EB">
        <w:rPr>
          <w:rFonts w:ascii="Calibri" w:eastAsia="Calibri" w:hAnsi="Calibri" w:cs="Calibri"/>
          <w:b/>
          <w:sz w:val="22"/>
          <w:szCs w:val="22"/>
        </w:rPr>
        <w:t>du Transport</w:t>
      </w:r>
    </w:p>
    <w:p w14:paraId="768D43C2" w14:textId="77777777" w:rsidR="00FA7685" w:rsidRDefault="00FA7685">
      <w:pPr>
        <w:jc w:val="center"/>
      </w:pPr>
    </w:p>
    <w:p w14:paraId="23BC4A9E" w14:textId="5FD9FE25" w:rsidR="00703F1A" w:rsidRDefault="00751A8E">
      <w:pPr>
        <w:jc w:val="center"/>
        <w:rPr>
          <w:rFonts w:ascii="Calibri" w:eastAsia="Calibri" w:hAnsi="Calibri" w:cs="Calibri"/>
          <w:b/>
          <w:sz w:val="22"/>
          <w:szCs w:val="22"/>
        </w:rPr>
      </w:pPr>
      <w:r w:rsidRPr="00751A8E">
        <w:rPr>
          <w:rFonts w:ascii="Calibri" w:eastAsia="Calibri" w:hAnsi="Calibri" w:cs="Calibri"/>
          <w:b/>
          <w:sz w:val="22"/>
          <w:szCs w:val="22"/>
        </w:rPr>
        <w:t xml:space="preserve">Autorisation </w:t>
      </w:r>
      <w:r w:rsidR="000221EB">
        <w:rPr>
          <w:rFonts w:ascii="Calibri" w:eastAsia="Calibri" w:hAnsi="Calibri" w:cs="Calibri"/>
          <w:b/>
          <w:sz w:val="22"/>
          <w:szCs w:val="22"/>
        </w:rPr>
        <w:t>de dragage</w:t>
      </w:r>
    </w:p>
    <w:p w14:paraId="156FD359" w14:textId="77777777" w:rsidR="00751A8E" w:rsidRPr="00EB444C" w:rsidRDefault="00751A8E">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663C3214" w:rsidR="00FA7685" w:rsidRPr="0061181A" w:rsidRDefault="004915E6" w:rsidP="000221EB">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par </w:t>
            </w:r>
            <w:r w:rsidR="000221EB">
              <w:rPr>
                <w:rFonts w:ascii="Calibri" w:hAnsi="Calibri"/>
                <w:color w:val="000000" w:themeColor="text1"/>
                <w:sz w:val="22"/>
                <w:szCs w:val="22"/>
              </w:rPr>
              <w:t>le Ministre des transports</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24896694" w:rsidR="007E7288" w:rsidRPr="00751A8E" w:rsidRDefault="007A5571" w:rsidP="007A5571">
            <w:pPr>
              <w:pStyle w:val="Paragraphedeliste"/>
              <w:numPr>
                <w:ilvl w:val="0"/>
                <w:numId w:val="31"/>
              </w:numPr>
              <w:spacing w:before="80"/>
              <w:rPr>
                <w:rFonts w:ascii="Calibri" w:hAnsi="Calibri"/>
                <w:color w:val="000000" w:themeColor="text1"/>
                <w:sz w:val="22"/>
                <w:szCs w:val="22"/>
              </w:rPr>
            </w:pPr>
            <w:r w:rsidRPr="007A5571">
              <w:rPr>
                <w:rFonts w:ascii="Calibri" w:hAnsi="Calibri"/>
                <w:color w:val="000000" w:themeColor="text1"/>
                <w:sz w:val="22"/>
                <w:szCs w:val="22"/>
              </w:rPr>
              <w:t>Confère à l'opérateur le droit de construire et d'aménager les infrastructures portuaires.</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4485F219" w14:textId="6D95354B" w:rsidR="00FE40EF" w:rsidRPr="007A5571" w:rsidRDefault="00751A8E" w:rsidP="007A5571">
            <w:pPr>
              <w:pStyle w:val="Paragraphedeliste"/>
              <w:numPr>
                <w:ilvl w:val="0"/>
                <w:numId w:val="22"/>
              </w:numPr>
              <w:spacing w:before="80"/>
              <w:rPr>
                <w:rFonts w:ascii="Calibri" w:hAnsi="Calibri"/>
                <w:color w:val="000000" w:themeColor="text1"/>
                <w:sz w:val="22"/>
                <w:szCs w:val="22"/>
              </w:rPr>
            </w:pPr>
            <w:r w:rsidRPr="00751A8E">
              <w:rPr>
                <w:rFonts w:ascii="Calibri" w:hAnsi="Calibri"/>
                <w:color w:val="000000" w:themeColor="text1"/>
                <w:sz w:val="22"/>
                <w:szCs w:val="22"/>
              </w:rPr>
              <w:t>Code de la Marine Marchande</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6F979CA" w:rsidR="00CC2184" w:rsidRPr="0061181A" w:rsidRDefault="00751A8E" w:rsidP="00CC2184">
            <w:pPr>
              <w:spacing w:before="80"/>
              <w:contextualSpacing w:val="0"/>
              <w:rPr>
                <w:rFonts w:ascii="Calibri" w:hAnsi="Calibri"/>
                <w:color w:val="000000" w:themeColor="text1"/>
                <w:sz w:val="22"/>
                <w:szCs w:val="22"/>
              </w:rPr>
            </w:pPr>
            <w:r w:rsidRPr="00751A8E">
              <w:rPr>
                <w:rFonts w:ascii="Calibri" w:hAnsi="Calibri"/>
                <w:color w:val="000000" w:themeColor="text1"/>
                <w:sz w:val="22"/>
                <w:szCs w:val="22"/>
              </w:rPr>
              <w:t>10 jours ouvrables</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474F19ED" w:rsidR="003B1A64" w:rsidRPr="0061181A" w:rsidRDefault="00751A8E" w:rsidP="007A5571">
            <w:pPr>
              <w:spacing w:before="80"/>
              <w:contextualSpacing w:val="0"/>
              <w:rPr>
                <w:rFonts w:ascii="Calibri" w:hAnsi="Calibri"/>
                <w:color w:val="000000" w:themeColor="text1"/>
                <w:sz w:val="22"/>
                <w:szCs w:val="22"/>
              </w:rPr>
            </w:pPr>
            <w:r w:rsidRPr="00751A8E">
              <w:rPr>
                <w:rFonts w:ascii="Calibri" w:hAnsi="Calibri"/>
                <w:color w:val="000000" w:themeColor="text1"/>
                <w:sz w:val="22"/>
                <w:szCs w:val="22"/>
              </w:rPr>
              <w:t xml:space="preserve">3 mois </w:t>
            </w:r>
            <w:r w:rsidR="007A5571">
              <w:rPr>
                <w:rFonts w:ascii="Calibri" w:hAnsi="Calibri"/>
                <w:color w:val="000000" w:themeColor="text1"/>
                <w:sz w:val="22"/>
                <w:szCs w:val="22"/>
              </w:rPr>
              <w:t>ans</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7BC1F98B" w:rsidR="00F44883" w:rsidRPr="005D4BC2" w:rsidRDefault="00751A8E" w:rsidP="00F44883">
            <w:pPr>
              <w:rPr>
                <w:rFonts w:ascii="Calibri" w:hAnsi="Calibri"/>
                <w:color w:val="000000" w:themeColor="text1"/>
                <w:sz w:val="22"/>
                <w:szCs w:val="22"/>
              </w:rPr>
            </w:pPr>
            <w:r>
              <w:rPr>
                <w:rFonts w:ascii="Calibri" w:hAnsi="Calibri"/>
                <w:color w:val="000000" w:themeColor="text1"/>
                <w:sz w:val="22"/>
                <w:szCs w:val="22"/>
              </w:rPr>
              <w:t>Non payant</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241BA96E" w14:textId="77777777" w:rsidR="00703F1A" w:rsidRDefault="00751A8E" w:rsidP="00036284">
            <w:pPr>
              <w:pStyle w:val="Paragraphedeliste"/>
              <w:numPr>
                <w:ilvl w:val="0"/>
                <w:numId w:val="28"/>
              </w:numPr>
              <w:rPr>
                <w:rFonts w:ascii="Calibri" w:hAnsi="Calibri"/>
                <w:sz w:val="22"/>
                <w:szCs w:val="22"/>
              </w:rPr>
            </w:pPr>
            <w:r>
              <w:rPr>
                <w:rFonts w:ascii="Calibri" w:hAnsi="Calibri"/>
                <w:sz w:val="22"/>
                <w:szCs w:val="22"/>
              </w:rPr>
              <w:t>Etre titulaire d’un permis minier</w:t>
            </w:r>
          </w:p>
          <w:p w14:paraId="5BAF6610" w14:textId="543FAF69" w:rsidR="007A5571" w:rsidRPr="00036284" w:rsidRDefault="007A5571" w:rsidP="00036284">
            <w:pPr>
              <w:pStyle w:val="Paragraphedeliste"/>
              <w:numPr>
                <w:ilvl w:val="0"/>
                <w:numId w:val="28"/>
              </w:numPr>
              <w:rPr>
                <w:rFonts w:ascii="Calibri" w:hAnsi="Calibri"/>
                <w:sz w:val="22"/>
                <w:szCs w:val="22"/>
              </w:rPr>
            </w:pPr>
            <w:r>
              <w:rPr>
                <w:rFonts w:ascii="Calibri" w:hAnsi="Calibri"/>
                <w:sz w:val="22"/>
                <w:szCs w:val="22"/>
              </w:rPr>
              <w:t>Avoir réalisé les études techniques nécessaires</w:t>
            </w:r>
          </w:p>
        </w:tc>
        <w:tc>
          <w:tcPr>
            <w:tcW w:w="5671" w:type="dxa"/>
            <w:vAlign w:val="center"/>
          </w:tcPr>
          <w:p w14:paraId="2A392FCE" w14:textId="77777777" w:rsidR="00751A8E" w:rsidRDefault="007A5571" w:rsidP="00751A8E">
            <w:pPr>
              <w:pStyle w:val="Paragraphedeliste"/>
              <w:numPr>
                <w:ilvl w:val="0"/>
                <w:numId w:val="27"/>
              </w:numPr>
              <w:rPr>
                <w:rFonts w:ascii="Calibri" w:hAnsi="Calibri"/>
                <w:sz w:val="22"/>
                <w:szCs w:val="22"/>
              </w:rPr>
            </w:pPr>
            <w:r>
              <w:rPr>
                <w:rFonts w:ascii="Calibri" w:hAnsi="Calibri"/>
                <w:sz w:val="22"/>
                <w:szCs w:val="22"/>
              </w:rPr>
              <w:t>Etude de faisabilité</w:t>
            </w:r>
          </w:p>
          <w:p w14:paraId="72EB481B" w14:textId="6EEBB173" w:rsidR="007A5571" w:rsidRPr="00703F1A" w:rsidRDefault="007A5571" w:rsidP="00751A8E">
            <w:pPr>
              <w:pStyle w:val="Paragraphedeliste"/>
              <w:numPr>
                <w:ilvl w:val="0"/>
                <w:numId w:val="27"/>
              </w:numPr>
              <w:rPr>
                <w:rFonts w:ascii="Calibri" w:hAnsi="Calibri"/>
                <w:sz w:val="22"/>
                <w:szCs w:val="22"/>
              </w:rPr>
            </w:pPr>
            <w:r>
              <w:rPr>
                <w:rFonts w:ascii="Calibri" w:hAnsi="Calibri"/>
                <w:sz w:val="22"/>
                <w:szCs w:val="22"/>
              </w:rPr>
              <w:t>Etudes géotechniques et bathymétriques</w:t>
            </w: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7ABE9DF4" w14:textId="7DBE9D23" w:rsidR="00D54E78" w:rsidRDefault="007A5571" w:rsidP="00763544">
            <w:pPr>
              <w:spacing w:before="80"/>
              <w:rPr>
                <w:rFonts w:ascii="Calibri" w:hAnsi="Calibri"/>
                <w:color w:val="000000" w:themeColor="text1"/>
                <w:sz w:val="22"/>
                <w:szCs w:val="22"/>
              </w:rPr>
            </w:pPr>
            <w:r w:rsidRPr="007A5571">
              <w:rPr>
                <w:rFonts w:ascii="Calibri" w:hAnsi="Calibri"/>
                <w:b/>
                <w:color w:val="000000" w:themeColor="text1"/>
                <w:sz w:val="22"/>
                <w:szCs w:val="22"/>
              </w:rPr>
              <w:t>Promoteur </w:t>
            </w:r>
            <w:r>
              <w:rPr>
                <w:rFonts w:ascii="Calibri" w:hAnsi="Calibri"/>
                <w:color w:val="000000" w:themeColor="text1"/>
                <w:sz w:val="22"/>
                <w:szCs w:val="22"/>
              </w:rPr>
              <w:t>: adresse une demande d’autorisation de construction d’un port</w:t>
            </w:r>
          </w:p>
          <w:p w14:paraId="63036AC8" w14:textId="1AC51F5C" w:rsidR="007A5571" w:rsidRDefault="007A5571" w:rsidP="00763544">
            <w:pPr>
              <w:spacing w:before="80"/>
              <w:rPr>
                <w:rFonts w:ascii="Calibri" w:hAnsi="Calibri"/>
                <w:color w:val="000000" w:themeColor="text1"/>
                <w:sz w:val="22"/>
                <w:szCs w:val="22"/>
              </w:rPr>
            </w:pPr>
            <w:r w:rsidRPr="007A5571">
              <w:rPr>
                <w:rFonts w:ascii="Calibri" w:hAnsi="Calibri"/>
                <w:b/>
                <w:color w:val="000000" w:themeColor="text1"/>
                <w:sz w:val="22"/>
                <w:szCs w:val="22"/>
              </w:rPr>
              <w:t>DNMM</w:t>
            </w:r>
            <w:r>
              <w:rPr>
                <w:rFonts w:ascii="Calibri" w:hAnsi="Calibri"/>
                <w:color w:val="000000" w:themeColor="text1"/>
                <w:sz w:val="22"/>
                <w:szCs w:val="22"/>
              </w:rPr>
              <w:t xml:space="preserve"> : Analyse la complétude et la conformité du dossier et émet un avis qui si il est favorable est transmis au Ministre </w:t>
            </w:r>
          </w:p>
          <w:p w14:paraId="1750CE10" w14:textId="4295E16A" w:rsidR="007A5571" w:rsidRDefault="007A5571" w:rsidP="00763544">
            <w:pPr>
              <w:spacing w:before="80"/>
              <w:rPr>
                <w:rFonts w:ascii="Calibri" w:hAnsi="Calibri"/>
                <w:color w:val="000000" w:themeColor="text1"/>
                <w:sz w:val="22"/>
                <w:szCs w:val="22"/>
              </w:rPr>
            </w:pPr>
            <w:r w:rsidRPr="007A5571">
              <w:rPr>
                <w:rFonts w:ascii="Calibri" w:hAnsi="Calibri"/>
                <w:b/>
                <w:color w:val="000000" w:themeColor="text1"/>
                <w:sz w:val="22"/>
                <w:szCs w:val="22"/>
              </w:rPr>
              <w:t>Ministre </w:t>
            </w:r>
            <w:r>
              <w:rPr>
                <w:rFonts w:ascii="Calibri" w:hAnsi="Calibri"/>
                <w:color w:val="000000" w:themeColor="text1"/>
                <w:sz w:val="22"/>
                <w:szCs w:val="22"/>
              </w:rPr>
              <w:t>: signe la lettre et informe le promoteur</w:t>
            </w:r>
          </w:p>
          <w:p w14:paraId="4F2C2588" w14:textId="750D8E5E" w:rsidR="007A5571" w:rsidRPr="00763544" w:rsidRDefault="007A5571" w:rsidP="00763544">
            <w:pPr>
              <w:spacing w:before="80"/>
              <w:rPr>
                <w:rFonts w:ascii="Calibri" w:hAnsi="Calibri"/>
                <w:color w:val="000000" w:themeColor="text1"/>
                <w:sz w:val="22"/>
                <w:szCs w:val="22"/>
              </w:rPr>
            </w:pPr>
          </w:p>
        </w:tc>
        <w:tc>
          <w:tcPr>
            <w:tcW w:w="5671" w:type="dxa"/>
            <w:vAlign w:val="center"/>
          </w:tcPr>
          <w:p w14:paraId="1135ED95" w14:textId="77777777" w:rsidR="00F36430" w:rsidRDefault="00751A8E" w:rsidP="00036284">
            <w:pPr>
              <w:contextualSpacing w:val="0"/>
              <w:rPr>
                <w:rFonts w:ascii="Calibri" w:hAnsi="Calibri"/>
                <w:sz w:val="22"/>
                <w:szCs w:val="22"/>
              </w:rPr>
            </w:pPr>
            <w:r>
              <w:rPr>
                <w:rFonts w:ascii="Calibri" w:hAnsi="Calibri"/>
                <w:sz w:val="22"/>
                <w:szCs w:val="22"/>
              </w:rPr>
              <w:t>Oui</w:t>
            </w:r>
            <w:r w:rsidR="00B85DED">
              <w:rPr>
                <w:rFonts w:ascii="Calibri" w:hAnsi="Calibri"/>
                <w:sz w:val="22"/>
                <w:szCs w:val="22"/>
              </w:rPr>
              <w:t xml:space="preserve">. </w:t>
            </w:r>
          </w:p>
          <w:p w14:paraId="0AF58437" w14:textId="77777777" w:rsidR="00B85DED" w:rsidRDefault="00B85DED" w:rsidP="00036284">
            <w:pPr>
              <w:contextualSpacing w:val="0"/>
              <w:rPr>
                <w:rFonts w:ascii="Calibri" w:hAnsi="Calibri"/>
                <w:sz w:val="22"/>
                <w:szCs w:val="22"/>
              </w:rPr>
            </w:pPr>
            <w:r>
              <w:rPr>
                <w:rFonts w:ascii="Calibri" w:hAnsi="Calibri"/>
                <w:sz w:val="22"/>
                <w:szCs w:val="22"/>
              </w:rPr>
              <w:t>Visite de reconnaissance pendant l’instruction du dossier.</w:t>
            </w:r>
          </w:p>
          <w:p w14:paraId="1B1FCF20" w14:textId="5E620855" w:rsidR="007A5571" w:rsidRPr="0061181A" w:rsidRDefault="007A5571" w:rsidP="00036284">
            <w:pPr>
              <w:contextualSpacing w:val="0"/>
              <w:rPr>
                <w:rFonts w:ascii="Calibri" w:hAnsi="Calibri"/>
                <w:sz w:val="22"/>
                <w:szCs w:val="22"/>
              </w:rPr>
            </w:pPr>
            <w:r>
              <w:rPr>
                <w:rFonts w:ascii="Calibri" w:hAnsi="Calibri"/>
                <w:sz w:val="22"/>
                <w:szCs w:val="22"/>
              </w:rPr>
              <w:t>Visites de contrôle régulières pendant toute la période de construction</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4070DADB"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 xml:space="preserve">(indiquer si simple collaboration de </w:t>
            </w:r>
            <w:r w:rsidR="00974DFD" w:rsidRPr="0061181A">
              <w:rPr>
                <w:rFonts w:ascii="Calibri" w:eastAsia="Calibri" w:hAnsi="Calibri" w:cs="Calibri"/>
                <w:b/>
                <w:color w:val="000000" w:themeColor="text1"/>
                <w:sz w:val="22"/>
                <w:szCs w:val="22"/>
              </w:rPr>
              <w:lastRenderedPageBreak/>
              <w:t>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lastRenderedPageBreak/>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r>
            <w:r w:rsidR="00AB7870" w:rsidRPr="0061181A">
              <w:rPr>
                <w:rFonts w:ascii="Calibri" w:hAnsi="Calibri"/>
                <w:b/>
                <w:color w:val="000000" w:themeColor="text1"/>
                <w:sz w:val="22"/>
                <w:szCs w:val="22"/>
              </w:rPr>
              <w:lastRenderedPageBreak/>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7FAE0EA5" w14:textId="77777777" w:rsidR="00B244DB" w:rsidRDefault="00751A8E" w:rsidP="00B764CA">
            <w:pPr>
              <w:rPr>
                <w:rFonts w:ascii="Calibri" w:hAnsi="Calibri"/>
                <w:color w:val="000000" w:themeColor="text1"/>
                <w:sz w:val="22"/>
                <w:szCs w:val="22"/>
              </w:rPr>
            </w:pPr>
            <w:r>
              <w:rPr>
                <w:rFonts w:ascii="Calibri" w:hAnsi="Calibri"/>
                <w:color w:val="000000" w:themeColor="text1"/>
                <w:sz w:val="22"/>
                <w:szCs w:val="22"/>
              </w:rPr>
              <w:lastRenderedPageBreak/>
              <w:t xml:space="preserve">Oui. </w:t>
            </w:r>
          </w:p>
          <w:p w14:paraId="0D344E10" w14:textId="71E68A8E" w:rsidR="00751A8E" w:rsidRPr="00B764CA" w:rsidRDefault="000221EB" w:rsidP="007A5571">
            <w:pPr>
              <w:rPr>
                <w:rFonts w:ascii="Calibri" w:hAnsi="Calibri"/>
                <w:color w:val="000000" w:themeColor="text1"/>
                <w:sz w:val="22"/>
                <w:szCs w:val="22"/>
              </w:rPr>
            </w:pPr>
            <w:r w:rsidRPr="000221EB">
              <w:rPr>
                <w:rFonts w:ascii="Calibri" w:hAnsi="Calibri"/>
                <w:color w:val="000000" w:themeColor="text1"/>
                <w:sz w:val="22"/>
                <w:szCs w:val="22"/>
              </w:rPr>
              <w:t xml:space="preserve">Ministère de l’environnement </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355EA92" w:rsidR="00FA7685" w:rsidRPr="008515F0" w:rsidRDefault="007B488B" w:rsidP="00A3183C">
            <w:pPr>
              <w:rPr>
                <w:rFonts w:ascii="Calibri" w:hAnsi="Calibri"/>
                <w:sz w:val="22"/>
                <w:szCs w:val="22"/>
              </w:rPr>
            </w:pPr>
            <w:r>
              <w:rPr>
                <w:rFonts w:ascii="Calibri" w:hAnsi="Calibri"/>
                <w:sz w:val="22"/>
                <w:szCs w:val="22"/>
              </w:rPr>
              <w:t>Néant</w:t>
            </w:r>
          </w:p>
        </w:tc>
        <w:tc>
          <w:tcPr>
            <w:tcW w:w="5671" w:type="dxa"/>
            <w:vAlign w:val="center"/>
          </w:tcPr>
          <w:p w14:paraId="536AAA44" w14:textId="0DA369F9" w:rsidR="00B244DB" w:rsidRPr="0061181A" w:rsidRDefault="00763544" w:rsidP="0061181A">
            <w:pPr>
              <w:contextualSpacing w:val="0"/>
              <w:rPr>
                <w:rFonts w:ascii="Calibri" w:hAnsi="Calibri"/>
                <w:sz w:val="22"/>
                <w:szCs w:val="22"/>
              </w:rPr>
            </w:pPr>
            <w:r>
              <w:rPr>
                <w:rFonts w:ascii="Calibri" w:hAnsi="Calibri"/>
                <w:sz w:val="22"/>
                <w:szCs w:val="22"/>
              </w:rPr>
              <w:t>Oui</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5C05B6AE" w:rsidR="00974DFD" w:rsidRPr="0061181A" w:rsidRDefault="007B488B" w:rsidP="0061181A">
            <w:pPr>
              <w:rPr>
                <w:rFonts w:ascii="Calibri" w:hAnsi="Calibri"/>
                <w:sz w:val="22"/>
                <w:szCs w:val="22"/>
              </w:rPr>
            </w:pPr>
            <w:r>
              <w:rPr>
                <w:rFonts w:ascii="Calibri" w:hAnsi="Calibri"/>
                <w:sz w:val="22"/>
                <w:szCs w:val="22"/>
              </w:rPr>
              <w:t>Néant</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009C751D" w14:textId="77777777" w:rsidR="000221EB" w:rsidRDefault="000221EB" w:rsidP="000221EB">
            <w:r>
              <w:rPr>
                <w:rFonts w:ascii="Calibri" w:eastAsia="Calibri" w:hAnsi="Calibri" w:cs="Calibri"/>
                <w:sz w:val="22"/>
                <w:szCs w:val="22"/>
              </w:rPr>
              <w:t>Direction Nationale de la Marine Marchande (DNMM)</w:t>
            </w:r>
          </w:p>
          <w:p w14:paraId="30C1B938" w14:textId="27E7BF23" w:rsidR="00FA7685" w:rsidRPr="0061181A" w:rsidRDefault="00FA7685" w:rsidP="000227B9">
            <w:pPr>
              <w:rPr>
                <w:rFonts w:ascii="Calibri" w:hAnsi="Calibri"/>
                <w:sz w:val="22"/>
                <w:szCs w:val="22"/>
              </w:rPr>
            </w:pP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4133D2C5" w:rsidR="00B71921" w:rsidRPr="0061181A" w:rsidRDefault="000221EB" w:rsidP="004915E6">
            <w:pPr>
              <w:rPr>
                <w:rFonts w:ascii="Calibri" w:hAnsi="Calibri"/>
                <w:sz w:val="22"/>
                <w:szCs w:val="22"/>
              </w:rPr>
            </w:pPr>
            <w:r>
              <w:rPr>
                <w:rFonts w:ascii="Calibri" w:hAnsi="Calibri"/>
                <w:sz w:val="22"/>
                <w:szCs w:val="22"/>
              </w:rPr>
              <w:t>Ministre des Transports</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6250E889" w14:textId="77777777" w:rsidR="000221EB" w:rsidRDefault="000221EB" w:rsidP="000221EB">
            <w:pPr>
              <w:widowControl w:val="0"/>
            </w:pPr>
            <w:r>
              <w:rPr>
                <w:rFonts w:ascii="Calibri" w:eastAsia="Calibri" w:hAnsi="Calibri" w:cs="Calibri"/>
                <w:sz w:val="22"/>
                <w:szCs w:val="22"/>
              </w:rPr>
              <w:t>Tel: 657 20 22 94</w:t>
            </w:r>
          </w:p>
          <w:p w14:paraId="54F5B06D" w14:textId="77777777" w:rsidR="000221EB" w:rsidRDefault="000221EB" w:rsidP="000221EB">
            <w:pPr>
              <w:widowControl w:val="0"/>
            </w:pPr>
            <w:r>
              <w:rPr>
                <w:rFonts w:ascii="Calibri" w:eastAsia="Calibri" w:hAnsi="Calibri" w:cs="Calibri"/>
                <w:sz w:val="22"/>
                <w:szCs w:val="22"/>
              </w:rPr>
              <w:t xml:space="preserve">Mail: </w:t>
            </w:r>
            <w:hyperlink r:id="rId8">
              <w:r>
                <w:rPr>
                  <w:rFonts w:ascii="Calibri" w:eastAsia="Calibri" w:hAnsi="Calibri" w:cs="Calibri"/>
                  <w:color w:val="1155CC"/>
                  <w:sz w:val="22"/>
                  <w:szCs w:val="22"/>
                  <w:u w:val="single"/>
                </w:rPr>
                <w:t>moribatoure2009@yahoo.fr</w:t>
              </w:r>
            </w:hyperlink>
          </w:p>
          <w:p w14:paraId="707E2B93" w14:textId="77777777" w:rsidR="000221EB" w:rsidRDefault="000221EB" w:rsidP="000221EB">
            <w:pPr>
              <w:widowControl w:val="0"/>
            </w:pPr>
            <w:r>
              <w:rPr>
                <w:rFonts w:ascii="Calibri" w:eastAsia="Calibri" w:hAnsi="Calibri" w:cs="Calibri"/>
                <w:sz w:val="22"/>
                <w:szCs w:val="22"/>
              </w:rPr>
              <w:t>Boite Postale: B.P. 06</w:t>
            </w:r>
          </w:p>
          <w:p w14:paraId="335A8869" w14:textId="77777777" w:rsidR="000221EB" w:rsidRDefault="000221EB" w:rsidP="000221EB">
            <w:pPr>
              <w:widowControl w:val="0"/>
            </w:pPr>
            <w:r>
              <w:rPr>
                <w:rFonts w:ascii="Calibri" w:eastAsia="Calibri" w:hAnsi="Calibri" w:cs="Calibri"/>
                <w:sz w:val="22"/>
                <w:szCs w:val="22"/>
              </w:rPr>
              <w:t xml:space="preserve">Site: Non indiqué </w:t>
            </w:r>
          </w:p>
          <w:p w14:paraId="332FEE1A" w14:textId="77777777" w:rsidR="000221EB" w:rsidRDefault="000221EB" w:rsidP="000221EB">
            <w:pPr>
              <w:widowControl w:val="0"/>
            </w:pPr>
            <w:r>
              <w:rPr>
                <w:rFonts w:ascii="Calibri" w:eastAsia="Calibri" w:hAnsi="Calibri" w:cs="Calibri"/>
                <w:sz w:val="22"/>
                <w:szCs w:val="22"/>
              </w:rPr>
              <w:t>Adresse physique: Direction Nationale de la Marine Marchande</w:t>
            </w:r>
          </w:p>
          <w:p w14:paraId="50CE19A3" w14:textId="77777777" w:rsidR="000221EB" w:rsidRDefault="000221EB" w:rsidP="000221EB">
            <w:pPr>
              <w:widowControl w:val="0"/>
            </w:pPr>
            <w:r>
              <w:rPr>
                <w:rFonts w:ascii="Calibri" w:eastAsia="Calibri" w:hAnsi="Calibri" w:cs="Calibri"/>
                <w:sz w:val="22"/>
                <w:szCs w:val="22"/>
              </w:rPr>
              <w:t>Ville: Conakry</w:t>
            </w:r>
          </w:p>
          <w:p w14:paraId="66F3DA85" w14:textId="0DBA52EA" w:rsidR="00FA7685" w:rsidRPr="0061181A" w:rsidRDefault="000221EB" w:rsidP="000221EB">
            <w:pPr>
              <w:contextualSpacing w:val="0"/>
              <w:rPr>
                <w:rFonts w:ascii="Calibri" w:hAnsi="Calibri"/>
                <w:sz w:val="22"/>
                <w:szCs w:val="22"/>
              </w:rPr>
            </w:pPr>
            <w:r>
              <w:rPr>
                <w:rFonts w:ascii="Calibri" w:eastAsia="Calibri" w:hAnsi="Calibri" w:cs="Calibri"/>
                <w:sz w:val="22"/>
                <w:szCs w:val="22"/>
              </w:rPr>
              <w:t>Horaires d’ouverture: 8 h 00 -  16 h 30</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044D5E9E" w14:textId="77777777" w:rsidR="002F0B33" w:rsidRDefault="000221EB" w:rsidP="007A5571">
            <w:pPr>
              <w:rPr>
                <w:rFonts w:ascii="Calibri" w:eastAsia="Calibri" w:hAnsi="Calibri" w:cs="Calibri"/>
                <w:sz w:val="22"/>
                <w:szCs w:val="22"/>
              </w:rPr>
            </w:pPr>
            <w:r>
              <w:rPr>
                <w:rFonts w:ascii="Calibri" w:eastAsia="Calibri" w:hAnsi="Calibri" w:cs="Calibri"/>
                <w:sz w:val="22"/>
                <w:szCs w:val="22"/>
              </w:rPr>
              <w:t>Autorisation non retrouvée dans les textes</w:t>
            </w:r>
            <w:r w:rsidR="007A5571">
              <w:rPr>
                <w:rFonts w:ascii="Calibri" w:eastAsia="Calibri" w:hAnsi="Calibri" w:cs="Calibri"/>
                <w:sz w:val="22"/>
                <w:szCs w:val="22"/>
              </w:rPr>
              <w:t xml:space="preserve"> au sens strict</w:t>
            </w:r>
            <w:r>
              <w:rPr>
                <w:rFonts w:ascii="Calibri" w:eastAsia="Calibri" w:hAnsi="Calibri" w:cs="Calibri"/>
                <w:sz w:val="22"/>
                <w:szCs w:val="22"/>
              </w:rPr>
              <w:t xml:space="preserve">. Les procédures </w:t>
            </w:r>
            <w:r w:rsidR="007A5571">
              <w:rPr>
                <w:rFonts w:ascii="Calibri" w:eastAsia="Calibri" w:hAnsi="Calibri" w:cs="Calibri"/>
                <w:sz w:val="22"/>
                <w:szCs w:val="22"/>
              </w:rPr>
              <w:t xml:space="preserve">décrites correspondent à la pratique du Ministère des transports. Ces procédures </w:t>
            </w:r>
            <w:r>
              <w:rPr>
                <w:rFonts w:ascii="Calibri" w:eastAsia="Calibri" w:hAnsi="Calibri" w:cs="Calibri"/>
                <w:sz w:val="22"/>
                <w:szCs w:val="22"/>
              </w:rPr>
              <w:t>sont donc à confirmer.</w:t>
            </w:r>
          </w:p>
          <w:p w14:paraId="27337FD5" w14:textId="77777777" w:rsidR="005F60D8" w:rsidRDefault="005F60D8" w:rsidP="007A5571">
            <w:pPr>
              <w:rPr>
                <w:rFonts w:ascii="Calibri" w:eastAsia="Calibri" w:hAnsi="Calibri" w:cs="Calibri"/>
                <w:sz w:val="22"/>
                <w:szCs w:val="22"/>
              </w:rPr>
            </w:pPr>
          </w:p>
          <w:p w14:paraId="0C7C9338" w14:textId="11CDD2A3" w:rsidR="005F60D8" w:rsidRPr="005F60D8" w:rsidRDefault="005F60D8" w:rsidP="005F60D8">
            <w:pPr>
              <w:rPr>
                <w:rFonts w:ascii="Calibri" w:eastAsia="Calibri" w:hAnsi="Calibri" w:cs="Calibri"/>
                <w:sz w:val="22"/>
                <w:szCs w:val="22"/>
              </w:rPr>
            </w:pPr>
            <w:r>
              <w:rPr>
                <w:rFonts w:ascii="Calibri" w:eastAsia="Calibri" w:hAnsi="Calibri" w:cs="Calibri"/>
                <w:sz w:val="22"/>
                <w:szCs w:val="22"/>
              </w:rPr>
              <w:t>De plus, le</w:t>
            </w:r>
            <w:r w:rsidRPr="005F60D8">
              <w:rPr>
                <w:rFonts w:ascii="Calibri" w:eastAsia="Calibri" w:hAnsi="Calibri" w:cs="Calibri"/>
                <w:sz w:val="22"/>
                <w:szCs w:val="22"/>
              </w:rPr>
              <w:t xml:space="preserve"> Code de la Marine Marchande ne précise à aucun moment que cette autorisation est délivrée par le Ministère des Transports. Il est inscrit au contraire que la Direction de la Marine Marchande est sollicitée pour avis pour les autorisations d'occupation, de concession </w:t>
            </w:r>
            <w:r w:rsidRPr="005F60D8">
              <w:rPr>
                <w:rFonts w:ascii="Calibri" w:eastAsia="Calibri" w:hAnsi="Calibri" w:cs="Calibri"/>
                <w:sz w:val="22"/>
                <w:szCs w:val="22"/>
              </w:rPr>
              <w:lastRenderedPageBreak/>
              <w:t xml:space="preserve">ou d'utilisation temporaire du domaine public maritime. </w:t>
            </w:r>
          </w:p>
          <w:p w14:paraId="22287CE0" w14:textId="77777777" w:rsidR="005F60D8" w:rsidRPr="005F60D8" w:rsidRDefault="005F60D8" w:rsidP="005F60D8">
            <w:pPr>
              <w:rPr>
                <w:rFonts w:ascii="Calibri" w:eastAsia="Calibri" w:hAnsi="Calibri" w:cs="Calibri"/>
                <w:sz w:val="22"/>
                <w:szCs w:val="22"/>
              </w:rPr>
            </w:pPr>
          </w:p>
          <w:p w14:paraId="064B5354" w14:textId="77777777" w:rsidR="005F60D8" w:rsidRPr="005F60D8" w:rsidRDefault="005F60D8" w:rsidP="005F60D8">
            <w:pPr>
              <w:rPr>
                <w:rFonts w:ascii="Calibri" w:eastAsia="Calibri" w:hAnsi="Calibri" w:cs="Calibri"/>
                <w:sz w:val="22"/>
                <w:szCs w:val="22"/>
              </w:rPr>
            </w:pPr>
            <w:r w:rsidRPr="005F60D8">
              <w:rPr>
                <w:rFonts w:ascii="Calibri" w:eastAsia="Calibri" w:hAnsi="Calibri" w:cs="Calibri"/>
                <w:sz w:val="22"/>
                <w:szCs w:val="22"/>
              </w:rPr>
              <w:t xml:space="preserve">Par ailleurs, l'article 109 du Code Foncier et Domanial précise que le domaine public de l’Etat est géré par le Ministre chargé du Domaine. </w:t>
            </w:r>
          </w:p>
          <w:p w14:paraId="12C8689A" w14:textId="77777777" w:rsidR="005F60D8" w:rsidRPr="005F60D8" w:rsidRDefault="005F60D8" w:rsidP="005F60D8">
            <w:pPr>
              <w:rPr>
                <w:rFonts w:ascii="Calibri" w:eastAsia="Calibri" w:hAnsi="Calibri" w:cs="Calibri"/>
                <w:sz w:val="22"/>
                <w:szCs w:val="22"/>
              </w:rPr>
            </w:pPr>
          </w:p>
          <w:p w14:paraId="2D61A06E" w14:textId="77777777" w:rsidR="005F60D8" w:rsidRPr="005F60D8" w:rsidRDefault="005F60D8" w:rsidP="005F60D8">
            <w:pPr>
              <w:rPr>
                <w:rFonts w:ascii="Calibri" w:eastAsia="Calibri" w:hAnsi="Calibri" w:cs="Calibri"/>
                <w:sz w:val="22"/>
                <w:szCs w:val="22"/>
              </w:rPr>
            </w:pPr>
            <w:r w:rsidRPr="005F60D8">
              <w:rPr>
                <w:rFonts w:ascii="Calibri" w:eastAsia="Calibri" w:hAnsi="Calibri" w:cs="Calibri"/>
                <w:sz w:val="22"/>
                <w:szCs w:val="22"/>
              </w:rPr>
              <w:t>Enfin, l'article 6 de l' arrêté n°4550/MT/CAB/10 du 19 octobre 2010 indique que tout projet ou opération initié sur le Domaine public maritime requièrent une autorisation du Ministre chargé des Domaines et du Cadastre après avis favorable du Ministre chargé de la Marine marchande.</w:t>
            </w:r>
          </w:p>
          <w:p w14:paraId="1554768D" w14:textId="77777777" w:rsidR="005F60D8" w:rsidRPr="005F60D8" w:rsidRDefault="005F60D8" w:rsidP="005F60D8">
            <w:pPr>
              <w:rPr>
                <w:rFonts w:ascii="Calibri" w:eastAsia="Calibri" w:hAnsi="Calibri" w:cs="Calibri"/>
                <w:sz w:val="22"/>
                <w:szCs w:val="22"/>
              </w:rPr>
            </w:pPr>
          </w:p>
          <w:p w14:paraId="40130E37" w14:textId="1473CBE9" w:rsidR="005F60D8" w:rsidRPr="00DB2AEF" w:rsidRDefault="005F60D8" w:rsidP="005F60D8">
            <w:pPr>
              <w:rPr>
                <w:rFonts w:ascii="Calibri" w:eastAsia="Calibri" w:hAnsi="Calibri" w:cs="Calibri"/>
                <w:sz w:val="22"/>
                <w:szCs w:val="22"/>
              </w:rPr>
            </w:pPr>
            <w:r w:rsidRPr="005F60D8">
              <w:rPr>
                <w:rFonts w:ascii="Calibri" w:eastAsia="Calibri" w:hAnsi="Calibri" w:cs="Calibri"/>
                <w:sz w:val="22"/>
                <w:szCs w:val="22"/>
              </w:rPr>
              <w:t>Cette autorisation relève donc du champ de compétences du Ministère en charge de la construction (Mini</w:t>
            </w:r>
            <w:r w:rsidR="00FF7984">
              <w:rPr>
                <w:rFonts w:ascii="Calibri" w:eastAsia="Calibri" w:hAnsi="Calibri" w:cs="Calibri"/>
                <w:sz w:val="22"/>
                <w:szCs w:val="22"/>
              </w:rPr>
              <w:t>stère de l'Aménagement du territ</w:t>
            </w:r>
            <w:r w:rsidRPr="005F60D8">
              <w:rPr>
                <w:rFonts w:ascii="Calibri" w:eastAsia="Calibri" w:hAnsi="Calibri" w:cs="Calibri"/>
                <w:sz w:val="22"/>
                <w:szCs w:val="22"/>
              </w:rPr>
              <w:t>oire à ce jour).</w:t>
            </w:r>
          </w:p>
        </w:tc>
      </w:tr>
    </w:tbl>
    <w:p w14:paraId="1EF883AB" w14:textId="77777777" w:rsidR="00FF7984" w:rsidRDefault="00FF7984">
      <w:pPr>
        <w:sectPr w:rsidR="00FF7984">
          <w:footerReference w:type="default" r:id="rId9"/>
          <w:pgSz w:w="11900" w:h="16840"/>
          <w:pgMar w:top="284" w:right="1417" w:bottom="426" w:left="1417" w:header="720" w:footer="720" w:gutter="0"/>
          <w:pgNumType w:start="1"/>
          <w:cols w:space="720"/>
        </w:sectPr>
      </w:pPr>
    </w:p>
    <w:bookmarkStart w:id="1" w:name="_GoBack"/>
    <w:p w14:paraId="6D636446" w14:textId="6FE349DE" w:rsidR="00FF7984" w:rsidRDefault="00FF7984">
      <w:r>
        <w:object w:dxaOrig="14880" w:dyaOrig="18361" w14:anchorId="117CD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638.2pt" o:ole="">
            <v:imagedata r:id="rId10" o:title="" croptop="1022f" cropbottom="15343f" cropright="15247f"/>
          </v:shape>
          <o:OLEObject Type="Embed" ProgID="Visio.Drawing.15" ShapeID="_x0000_i1025" DrawAspect="Content" ObjectID="_1543040990" r:id="rId11"/>
        </w:object>
      </w:r>
      <w:bookmarkEnd w:id="1"/>
    </w:p>
    <w:p w14:paraId="63977976" w14:textId="54D43E35" w:rsidR="00FA7685" w:rsidRDefault="00FA7685"/>
    <w:sectPr w:rsidR="00FA7685" w:rsidSect="00FF7984">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0780" w14:textId="77777777" w:rsidR="00A37276" w:rsidRDefault="00A37276" w:rsidP="003B1A64">
      <w:r>
        <w:separator/>
      </w:r>
    </w:p>
  </w:endnote>
  <w:endnote w:type="continuationSeparator" w:id="0">
    <w:p w14:paraId="2EEA16A8" w14:textId="77777777" w:rsidR="00A37276" w:rsidRDefault="00A37276"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26561"/>
      <w:docPartObj>
        <w:docPartGallery w:val="Page Numbers (Bottom of Page)"/>
        <w:docPartUnique/>
      </w:docPartObj>
    </w:sdtPr>
    <w:sdtEndPr/>
    <w:sdtContent>
      <w:p w14:paraId="583078E6" w14:textId="77777777" w:rsidR="00F36430" w:rsidRDefault="00F36430">
        <w:pPr>
          <w:pStyle w:val="Pieddepage"/>
          <w:jc w:val="right"/>
        </w:pPr>
        <w:r>
          <w:fldChar w:fldCharType="begin"/>
        </w:r>
        <w:r>
          <w:instrText>PAGE   \* MERGEFORMAT</w:instrText>
        </w:r>
        <w:r>
          <w:fldChar w:fldCharType="separate"/>
        </w:r>
        <w:r w:rsidR="00FF7984">
          <w:rPr>
            <w:noProof/>
          </w:rPr>
          <w:t>3</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A938B" w14:textId="77777777" w:rsidR="00A37276" w:rsidRDefault="00A37276" w:rsidP="003B1A64">
      <w:r>
        <w:separator/>
      </w:r>
    </w:p>
  </w:footnote>
  <w:footnote w:type="continuationSeparator" w:id="0">
    <w:p w14:paraId="7B7F5F39" w14:textId="77777777" w:rsidR="00A37276" w:rsidRDefault="00A37276"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6E465B"/>
    <w:multiLevelType w:val="hybridMultilevel"/>
    <w:tmpl w:val="CDB064C8"/>
    <w:lvl w:ilvl="0" w:tplc="99EEC7B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AC37F6"/>
    <w:multiLevelType w:val="multilevel"/>
    <w:tmpl w:val="53FEC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64E4E7D"/>
    <w:multiLevelType w:val="hybridMultilevel"/>
    <w:tmpl w:val="A0A2E3C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B640576"/>
    <w:multiLevelType w:val="hybridMultilevel"/>
    <w:tmpl w:val="A1DC1E98"/>
    <w:lvl w:ilvl="0" w:tplc="176CEDAC">
      <w:start w:val="13"/>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25"/>
  </w:num>
  <w:num w:numId="4">
    <w:abstractNumId w:val="7"/>
  </w:num>
  <w:num w:numId="5">
    <w:abstractNumId w:val="24"/>
  </w:num>
  <w:num w:numId="6">
    <w:abstractNumId w:val="27"/>
  </w:num>
  <w:num w:numId="7">
    <w:abstractNumId w:val="6"/>
  </w:num>
  <w:num w:numId="8">
    <w:abstractNumId w:val="21"/>
  </w:num>
  <w:num w:numId="9">
    <w:abstractNumId w:val="22"/>
  </w:num>
  <w:num w:numId="10">
    <w:abstractNumId w:val="29"/>
  </w:num>
  <w:num w:numId="11">
    <w:abstractNumId w:val="8"/>
  </w:num>
  <w:num w:numId="12">
    <w:abstractNumId w:val="15"/>
  </w:num>
  <w:num w:numId="13">
    <w:abstractNumId w:val="26"/>
  </w:num>
  <w:num w:numId="14">
    <w:abstractNumId w:val="12"/>
  </w:num>
  <w:num w:numId="15">
    <w:abstractNumId w:val="4"/>
  </w:num>
  <w:num w:numId="16">
    <w:abstractNumId w:val="3"/>
  </w:num>
  <w:num w:numId="17">
    <w:abstractNumId w:val="13"/>
  </w:num>
  <w:num w:numId="18">
    <w:abstractNumId w:val="5"/>
  </w:num>
  <w:num w:numId="19">
    <w:abstractNumId w:val="33"/>
  </w:num>
  <w:num w:numId="20">
    <w:abstractNumId w:val="23"/>
  </w:num>
  <w:num w:numId="21">
    <w:abstractNumId w:val="9"/>
  </w:num>
  <w:num w:numId="22">
    <w:abstractNumId w:val="14"/>
  </w:num>
  <w:num w:numId="23">
    <w:abstractNumId w:val="1"/>
  </w:num>
  <w:num w:numId="24">
    <w:abstractNumId w:val="10"/>
  </w:num>
  <w:num w:numId="25">
    <w:abstractNumId w:val="2"/>
  </w:num>
  <w:num w:numId="26">
    <w:abstractNumId w:val="30"/>
  </w:num>
  <w:num w:numId="27">
    <w:abstractNumId w:val="11"/>
  </w:num>
  <w:num w:numId="28">
    <w:abstractNumId w:val="19"/>
  </w:num>
  <w:num w:numId="29">
    <w:abstractNumId w:val="31"/>
  </w:num>
  <w:num w:numId="30">
    <w:abstractNumId w:val="28"/>
  </w:num>
  <w:num w:numId="31">
    <w:abstractNumId w:val="18"/>
  </w:num>
  <w:num w:numId="32">
    <w:abstractNumId w:val="16"/>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21EB"/>
    <w:rsid w:val="000227B9"/>
    <w:rsid w:val="000240F9"/>
    <w:rsid w:val="00035FD2"/>
    <w:rsid w:val="00036284"/>
    <w:rsid w:val="000609DC"/>
    <w:rsid w:val="00062FCD"/>
    <w:rsid w:val="0007698B"/>
    <w:rsid w:val="00083314"/>
    <w:rsid w:val="000A366E"/>
    <w:rsid w:val="00167059"/>
    <w:rsid w:val="00172A8F"/>
    <w:rsid w:val="00196E44"/>
    <w:rsid w:val="002938F9"/>
    <w:rsid w:val="002B00CB"/>
    <w:rsid w:val="002F0B33"/>
    <w:rsid w:val="002F6DB4"/>
    <w:rsid w:val="00317A46"/>
    <w:rsid w:val="00367F48"/>
    <w:rsid w:val="00380506"/>
    <w:rsid w:val="003B1A64"/>
    <w:rsid w:val="00407C20"/>
    <w:rsid w:val="00444E86"/>
    <w:rsid w:val="00452015"/>
    <w:rsid w:val="00453724"/>
    <w:rsid w:val="004915E6"/>
    <w:rsid w:val="00514B52"/>
    <w:rsid w:val="00521CE0"/>
    <w:rsid w:val="005605ED"/>
    <w:rsid w:val="005730EE"/>
    <w:rsid w:val="005B39D3"/>
    <w:rsid w:val="005D0E14"/>
    <w:rsid w:val="005D4BC2"/>
    <w:rsid w:val="005E4675"/>
    <w:rsid w:val="005F60D8"/>
    <w:rsid w:val="0061181A"/>
    <w:rsid w:val="00632B96"/>
    <w:rsid w:val="006726C2"/>
    <w:rsid w:val="00674594"/>
    <w:rsid w:val="00703F1A"/>
    <w:rsid w:val="00751A8E"/>
    <w:rsid w:val="00763544"/>
    <w:rsid w:val="00765578"/>
    <w:rsid w:val="007949F6"/>
    <w:rsid w:val="007A5571"/>
    <w:rsid w:val="007B488B"/>
    <w:rsid w:val="007B4DDF"/>
    <w:rsid w:val="007D6319"/>
    <w:rsid w:val="007E5245"/>
    <w:rsid w:val="007E68FB"/>
    <w:rsid w:val="007E7288"/>
    <w:rsid w:val="008515F0"/>
    <w:rsid w:val="0085262A"/>
    <w:rsid w:val="0086167B"/>
    <w:rsid w:val="00924C12"/>
    <w:rsid w:val="009702D7"/>
    <w:rsid w:val="00974DFD"/>
    <w:rsid w:val="009837C5"/>
    <w:rsid w:val="009C1CC3"/>
    <w:rsid w:val="00A3183C"/>
    <w:rsid w:val="00A37276"/>
    <w:rsid w:val="00A46A2A"/>
    <w:rsid w:val="00AB7870"/>
    <w:rsid w:val="00B244DB"/>
    <w:rsid w:val="00B53C55"/>
    <w:rsid w:val="00B71921"/>
    <w:rsid w:val="00B764CA"/>
    <w:rsid w:val="00B85DED"/>
    <w:rsid w:val="00BD3B30"/>
    <w:rsid w:val="00BE6C22"/>
    <w:rsid w:val="00C30733"/>
    <w:rsid w:val="00C30BE3"/>
    <w:rsid w:val="00C71C6B"/>
    <w:rsid w:val="00C94B9A"/>
    <w:rsid w:val="00CA09ED"/>
    <w:rsid w:val="00CC2184"/>
    <w:rsid w:val="00CD0CBA"/>
    <w:rsid w:val="00D54E78"/>
    <w:rsid w:val="00D55422"/>
    <w:rsid w:val="00D925AA"/>
    <w:rsid w:val="00DB2AEF"/>
    <w:rsid w:val="00DB4E26"/>
    <w:rsid w:val="00DE0E86"/>
    <w:rsid w:val="00E0599F"/>
    <w:rsid w:val="00E73856"/>
    <w:rsid w:val="00E763ED"/>
    <w:rsid w:val="00EB444C"/>
    <w:rsid w:val="00EB7374"/>
    <w:rsid w:val="00EC7039"/>
    <w:rsid w:val="00F00DD8"/>
    <w:rsid w:val="00F0798C"/>
    <w:rsid w:val="00F27542"/>
    <w:rsid w:val="00F36430"/>
    <w:rsid w:val="00F44883"/>
    <w:rsid w:val="00F718F4"/>
    <w:rsid w:val="00F969F7"/>
    <w:rsid w:val="00FA7685"/>
    <w:rsid w:val="00FC1B28"/>
    <w:rsid w:val="00FE40EF"/>
    <w:rsid w:val="00FF7885"/>
    <w:rsid w:val="00FF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2D8D9686-F420-4EE3-AE5A-80D716A7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batoure2009@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essin_Microsoft_Visio1.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D85B-F1C4-438F-A895-20640F48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3798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Camille LU-DAC</cp:lastModifiedBy>
  <cp:revision>3</cp:revision>
  <cp:lastPrinted>2016-11-22T08:57:00Z</cp:lastPrinted>
  <dcterms:created xsi:type="dcterms:W3CDTF">2016-12-12T08:38:00Z</dcterms:created>
  <dcterms:modified xsi:type="dcterms:W3CDTF">2016-12-12T08:40:00Z</dcterms:modified>
</cp:coreProperties>
</file>